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2" w:rsidRPr="00DA30D2" w:rsidRDefault="00DA30D2" w:rsidP="00DA30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DA30D2">
        <w:rPr>
          <w:rFonts w:ascii="Times New Roman" w:eastAsia="Times New Roman" w:hAnsi="Times New Roman" w:cs="Times New Roman"/>
          <w:b/>
          <w:bCs/>
          <w:color w:val="000000"/>
          <w:kern w:val="36"/>
          <w:sz w:val="24"/>
          <w:szCs w:val="24"/>
        </w:rPr>
        <w:t>Title 36 MARYLAND STATE LOTTERY AND GAMING CONTROL AGENCY</w:t>
      </w:r>
    </w:p>
    <w:p w:rsidR="00DA30D2" w:rsidRPr="00DA30D2" w:rsidRDefault="00DA30D2" w:rsidP="00DA30D2">
      <w:pPr>
        <w:spacing w:after="100" w:afterAutospacing="1" w:line="240" w:lineRule="auto"/>
        <w:jc w:val="center"/>
        <w:outlineLvl w:val="1"/>
        <w:rPr>
          <w:rFonts w:ascii="Times New Roman" w:eastAsia="Times New Roman" w:hAnsi="Times New Roman" w:cs="Times New Roman"/>
          <w:b/>
          <w:bCs/>
          <w:color w:val="000000"/>
          <w:sz w:val="24"/>
          <w:szCs w:val="24"/>
        </w:rPr>
      </w:pPr>
      <w:r w:rsidRPr="00DA30D2">
        <w:rPr>
          <w:rFonts w:ascii="Times New Roman" w:eastAsia="Times New Roman" w:hAnsi="Times New Roman" w:cs="Times New Roman"/>
          <w:b/>
          <w:bCs/>
          <w:color w:val="000000"/>
          <w:sz w:val="24"/>
          <w:szCs w:val="24"/>
        </w:rPr>
        <w:t>Subtitle 03 GAMING PROVISIONS</w:t>
      </w:r>
    </w:p>
    <w:p w:rsidR="00DA30D2" w:rsidRPr="00DA30D2" w:rsidRDefault="00DA30D2" w:rsidP="00DA30D2">
      <w:pPr>
        <w:spacing w:after="100" w:afterAutospacing="1" w:line="240" w:lineRule="auto"/>
        <w:jc w:val="center"/>
        <w:outlineLvl w:val="2"/>
        <w:rPr>
          <w:rFonts w:ascii="Times New Roman" w:eastAsia="Times New Roman" w:hAnsi="Times New Roman" w:cs="Times New Roman"/>
          <w:b/>
          <w:bCs/>
          <w:color w:val="000000"/>
          <w:sz w:val="24"/>
          <w:szCs w:val="24"/>
        </w:rPr>
      </w:pPr>
      <w:r w:rsidRPr="00DA30D2">
        <w:rPr>
          <w:rFonts w:ascii="Times New Roman" w:eastAsia="Times New Roman" w:hAnsi="Times New Roman" w:cs="Times New Roman"/>
          <w:b/>
          <w:bCs/>
          <w:color w:val="000000"/>
          <w:sz w:val="24"/>
          <w:szCs w:val="24"/>
        </w:rPr>
        <w:t>Chapter 01 General</w:t>
      </w:r>
    </w:p>
    <w:p w:rsidR="00DA30D2" w:rsidRPr="00DA30D2" w:rsidRDefault="00DA30D2" w:rsidP="00DA30D2">
      <w:pPr>
        <w:spacing w:after="100" w:afterAutospacing="1" w:line="240" w:lineRule="auto"/>
        <w:jc w:val="center"/>
        <w:outlineLvl w:val="3"/>
        <w:rPr>
          <w:rFonts w:ascii="Times New Roman" w:eastAsia="Times New Roman" w:hAnsi="Times New Roman" w:cs="Times New Roman"/>
          <w:b/>
          <w:bCs/>
          <w:color w:val="000000"/>
          <w:sz w:val="24"/>
          <w:szCs w:val="24"/>
        </w:rPr>
      </w:pPr>
      <w:r w:rsidRPr="00DA30D2">
        <w:rPr>
          <w:rFonts w:ascii="Times New Roman" w:eastAsia="Times New Roman" w:hAnsi="Times New Roman" w:cs="Times New Roman"/>
          <w:b/>
          <w:bCs/>
          <w:color w:val="000000"/>
          <w:sz w:val="24"/>
          <w:szCs w:val="24"/>
        </w:rPr>
        <w:t>Authority: State Government Article, §§9-1A-02(b) and 9-1A-04(d), Annotated Code of Maryland</w:t>
      </w:r>
    </w:p>
    <w:p w:rsidR="00DA30D2" w:rsidRPr="00DA30D2" w:rsidRDefault="00DA30D2" w:rsidP="00DA30D2">
      <w:pPr>
        <w:spacing w:after="100" w:afterAutospacing="1" w:line="240" w:lineRule="auto"/>
        <w:outlineLvl w:val="2"/>
        <w:rPr>
          <w:rFonts w:ascii="Times New Roman" w:eastAsia="Times New Roman" w:hAnsi="Times New Roman" w:cs="Times New Roman"/>
          <w:b/>
          <w:bCs/>
          <w:color w:val="000000"/>
          <w:sz w:val="24"/>
          <w:szCs w:val="24"/>
        </w:rPr>
      </w:pPr>
      <w:r w:rsidRPr="00DA30D2">
        <w:rPr>
          <w:rFonts w:ascii="Times New Roman" w:eastAsia="Times New Roman" w:hAnsi="Times New Roman" w:cs="Times New Roman"/>
          <w:b/>
          <w:bCs/>
          <w:color w:val="000000"/>
          <w:sz w:val="24"/>
          <w:szCs w:val="24"/>
        </w:rPr>
        <w:t>.02 Definitions.</w:t>
      </w:r>
    </w:p>
    <w:p w:rsidR="00DA30D2" w:rsidRPr="00DA30D2" w:rsidRDefault="00DA30D2" w:rsidP="00DA30D2">
      <w:pPr>
        <w:spacing w:after="100" w:afterAutospacing="1" w:line="240" w:lineRule="auto"/>
        <w:rPr>
          <w:rFonts w:ascii="Times New Roman" w:eastAsia="Times New Roman" w:hAnsi="Times New Roman" w:cs="Times New Roman"/>
          <w:color w:val="000000"/>
          <w:sz w:val="24"/>
          <w:szCs w:val="24"/>
        </w:rPr>
      </w:pPr>
      <w:r w:rsidRPr="00DA30D2">
        <w:rPr>
          <w:rFonts w:ascii="Times New Roman" w:eastAsia="Times New Roman" w:hAnsi="Times New Roman" w:cs="Times New Roman"/>
          <w:color w:val="000000"/>
          <w:sz w:val="24"/>
          <w:szCs w:val="24"/>
        </w:rPr>
        <w:t>A. (text unchanged)</w:t>
      </w:r>
    </w:p>
    <w:p w:rsidR="00DA30D2" w:rsidRPr="00DA30D2" w:rsidRDefault="00DA30D2" w:rsidP="00DA30D2">
      <w:pPr>
        <w:pStyle w:val="p1"/>
        <w:ind w:firstLine="187"/>
        <w:rPr>
          <w:color w:val="000000"/>
        </w:rPr>
      </w:pPr>
      <w:r w:rsidRPr="00DA30D2">
        <w:rPr>
          <w:color w:val="000000"/>
        </w:rPr>
        <w:t>B. Terms Defined.</w:t>
      </w:r>
    </w:p>
    <w:p w:rsidR="00DA30D2" w:rsidRPr="00DA30D2" w:rsidRDefault="008F2895" w:rsidP="008F2895">
      <w:pPr>
        <w:pStyle w:val="p2"/>
        <w:ind w:firstLine="389"/>
        <w:rPr>
          <w:color w:val="000000"/>
        </w:rPr>
      </w:pPr>
      <w:r>
        <w:rPr>
          <w:color w:val="000000"/>
        </w:rPr>
        <w:t>(</w:t>
      </w:r>
      <w:r w:rsidR="00DA30D2" w:rsidRPr="00DA30D2">
        <w:rPr>
          <w:color w:val="000000"/>
        </w:rPr>
        <w:t>(1)</w:t>
      </w:r>
      <w:r>
        <w:rPr>
          <w:color w:val="000000"/>
        </w:rPr>
        <w:t xml:space="preserve"> - (22) text unchanged)</w:t>
      </w:r>
    </w:p>
    <w:p w:rsidR="00DA30D2" w:rsidRPr="008F2895" w:rsidRDefault="00DA30D2" w:rsidP="00DA30D2">
      <w:pPr>
        <w:pStyle w:val="p2"/>
        <w:ind w:firstLine="389"/>
        <w:rPr>
          <w:strike/>
          <w:color w:val="000000"/>
        </w:rPr>
      </w:pPr>
      <w:r w:rsidRPr="008F2895">
        <w:rPr>
          <w:strike/>
          <w:color w:val="000000"/>
        </w:rPr>
        <w:t>(23) “Player” means an individual who plays a video lottery terminal or a table game at a video lottery facility licensed by the Commission.</w:t>
      </w:r>
    </w:p>
    <w:p w:rsidR="00DA30D2" w:rsidRPr="00DA30D2" w:rsidRDefault="00DA30D2" w:rsidP="00DA30D2">
      <w:pPr>
        <w:pStyle w:val="p2"/>
        <w:ind w:firstLine="389"/>
        <w:rPr>
          <w:color w:val="000000"/>
        </w:rPr>
      </w:pPr>
      <w:r w:rsidRPr="008F2895">
        <w:rPr>
          <w:strike/>
          <w:color w:val="000000"/>
        </w:rPr>
        <w:t>(24)</w:t>
      </w:r>
      <w:r w:rsidRPr="00DA30D2">
        <w:rPr>
          <w:color w:val="000000"/>
        </w:rPr>
        <w:t xml:space="preserve"> </w:t>
      </w:r>
      <w:r w:rsidR="008F2895">
        <w:rPr>
          <w:b/>
          <w:color w:val="000000"/>
          <w:u w:val="single"/>
        </w:rPr>
        <w:t xml:space="preserve">(23) </w:t>
      </w:r>
      <w:r w:rsidRPr="00DA30D2">
        <w:rPr>
          <w:color w:val="000000"/>
        </w:rPr>
        <w:t>“Principal” means:</w:t>
      </w:r>
    </w:p>
    <w:p w:rsidR="00DA30D2" w:rsidRPr="00DA30D2" w:rsidRDefault="00DA30D2" w:rsidP="00DA30D2">
      <w:pPr>
        <w:pStyle w:val="p3"/>
        <w:ind w:firstLine="590"/>
        <w:rPr>
          <w:color w:val="000000"/>
        </w:rPr>
      </w:pPr>
      <w:r w:rsidRPr="00DA30D2">
        <w:rPr>
          <w:color w:val="000000"/>
        </w:rPr>
        <w:t>(a) An officer, director, or person who directly holds a beneficial interest in, or ownership of, the securities of an applicant or licensee;</w:t>
      </w:r>
    </w:p>
    <w:p w:rsidR="00DA30D2" w:rsidRPr="00DA30D2" w:rsidRDefault="00DA30D2" w:rsidP="00DA30D2">
      <w:pPr>
        <w:pStyle w:val="p3"/>
        <w:ind w:firstLine="590"/>
        <w:rPr>
          <w:color w:val="000000"/>
        </w:rPr>
      </w:pPr>
      <w:r w:rsidRPr="00DA30D2">
        <w:rPr>
          <w:color w:val="000000"/>
        </w:rPr>
        <w:t>(b) A person who has a controlling interest in an applicant or licensee or has the ability to elect a majority of the board of directors of a licensee or to otherwise control a licensee;</w:t>
      </w:r>
    </w:p>
    <w:p w:rsidR="00DA30D2" w:rsidRPr="00DA30D2" w:rsidRDefault="00DA30D2" w:rsidP="00DA30D2">
      <w:pPr>
        <w:pStyle w:val="p3"/>
        <w:ind w:firstLine="590"/>
        <w:rPr>
          <w:color w:val="000000"/>
        </w:rPr>
      </w:pPr>
      <w:r w:rsidRPr="00DA30D2">
        <w:rPr>
          <w:color w:val="000000"/>
        </w:rPr>
        <w:t>(c) A lender or other licensed financial institution of an applicant or licensee, other than a bank or lending institution which makes a loan or holds a mortgage or other lien acquired in the ordinary course of business;</w:t>
      </w:r>
    </w:p>
    <w:p w:rsidR="00DA30D2" w:rsidRPr="00DA30D2" w:rsidRDefault="00DA30D2" w:rsidP="00DA30D2">
      <w:pPr>
        <w:pStyle w:val="p3"/>
        <w:ind w:firstLine="590"/>
        <w:rPr>
          <w:color w:val="000000"/>
        </w:rPr>
      </w:pPr>
      <w:r w:rsidRPr="00DA30D2">
        <w:rPr>
          <w:color w:val="000000"/>
        </w:rPr>
        <w:t>(d) An underwriter of an applicant or licensee; or</w:t>
      </w:r>
    </w:p>
    <w:p w:rsidR="00DA30D2" w:rsidRPr="00DA30D2" w:rsidRDefault="00DA30D2" w:rsidP="00DA30D2">
      <w:pPr>
        <w:pStyle w:val="p3"/>
        <w:ind w:firstLine="590"/>
        <w:rPr>
          <w:color w:val="000000"/>
        </w:rPr>
      </w:pPr>
      <w:r w:rsidRPr="00DA30D2">
        <w:rPr>
          <w:color w:val="000000"/>
        </w:rPr>
        <w:t>(e) Another person or employee of an applicant or licensee deemed by the Commission to be a principal.</w:t>
      </w:r>
    </w:p>
    <w:p w:rsidR="00DA30D2" w:rsidRPr="00DA30D2" w:rsidRDefault="00DA30D2" w:rsidP="00DA30D2">
      <w:pPr>
        <w:pStyle w:val="p2"/>
        <w:ind w:firstLine="389"/>
        <w:rPr>
          <w:color w:val="000000"/>
        </w:rPr>
      </w:pPr>
      <w:r w:rsidRPr="008F2895">
        <w:rPr>
          <w:strike/>
          <w:color w:val="000000"/>
        </w:rPr>
        <w:lastRenderedPageBreak/>
        <w:t>(25)</w:t>
      </w:r>
      <w:r w:rsidRPr="00DA30D2">
        <w:rPr>
          <w:color w:val="000000"/>
        </w:rPr>
        <w:t xml:space="preserve"> </w:t>
      </w:r>
      <w:r w:rsidR="008F2895">
        <w:rPr>
          <w:b/>
          <w:color w:val="000000"/>
          <w:u w:val="single"/>
        </w:rPr>
        <w:t xml:space="preserve">(24) </w:t>
      </w:r>
      <w:r w:rsidRPr="00DA30D2">
        <w:rPr>
          <w:color w:val="000000"/>
        </w:rPr>
        <w:t>Principal Employee.</w:t>
      </w:r>
    </w:p>
    <w:p w:rsidR="00DA30D2" w:rsidRPr="00DA30D2" w:rsidRDefault="00DA30D2" w:rsidP="00DA30D2">
      <w:pPr>
        <w:pStyle w:val="p3"/>
        <w:ind w:firstLine="590"/>
        <w:rPr>
          <w:color w:val="000000"/>
        </w:rPr>
      </w:pPr>
      <w:r w:rsidRPr="00DA30D2">
        <w:rPr>
          <w:color w:val="000000"/>
        </w:rPr>
        <w:t>(a) “Principal employee” means a video lottery employee who owns, controls, or manages a licensee, or otherwise exercises control over a video lottery or table game function of a licensee;</w:t>
      </w:r>
    </w:p>
    <w:p w:rsidR="00DA30D2" w:rsidRPr="00DA30D2" w:rsidRDefault="00DA30D2" w:rsidP="00DA30D2">
      <w:pPr>
        <w:pStyle w:val="p3"/>
        <w:ind w:firstLine="590"/>
        <w:rPr>
          <w:color w:val="000000"/>
        </w:rPr>
      </w:pPr>
      <w:r w:rsidRPr="00DA30D2">
        <w:rPr>
          <w:color w:val="000000"/>
        </w:rPr>
        <w:t>(b) “Principal employee” includes an employee of a contractor who performs any function described in §B(1) of this regulation; and</w:t>
      </w:r>
    </w:p>
    <w:p w:rsidR="00DA30D2" w:rsidRPr="00DA30D2" w:rsidRDefault="00DA30D2" w:rsidP="00DA30D2">
      <w:pPr>
        <w:pStyle w:val="p3"/>
        <w:ind w:firstLine="590"/>
        <w:rPr>
          <w:color w:val="000000"/>
        </w:rPr>
      </w:pPr>
      <w:r w:rsidRPr="00DA30D2">
        <w:rPr>
          <w:color w:val="000000"/>
        </w:rPr>
        <w:t>(c) “Principal employee” does not include a gaming employee.</w:t>
      </w:r>
    </w:p>
    <w:p w:rsidR="00DA30D2" w:rsidRPr="00DA30D2" w:rsidRDefault="00DA30D2" w:rsidP="00DA30D2">
      <w:pPr>
        <w:pStyle w:val="p2"/>
        <w:ind w:firstLine="389"/>
        <w:rPr>
          <w:color w:val="000000"/>
        </w:rPr>
      </w:pPr>
      <w:r w:rsidRPr="008F2895">
        <w:rPr>
          <w:strike/>
          <w:color w:val="000000"/>
        </w:rPr>
        <w:t>(26)</w:t>
      </w:r>
      <w:r w:rsidRPr="00DA30D2">
        <w:rPr>
          <w:color w:val="000000"/>
        </w:rPr>
        <w:t xml:space="preserve"> </w:t>
      </w:r>
      <w:r w:rsidR="008F2895">
        <w:rPr>
          <w:b/>
          <w:color w:val="000000"/>
          <w:u w:val="single"/>
        </w:rPr>
        <w:t xml:space="preserve">(25) </w:t>
      </w:r>
      <w:r w:rsidRPr="00DA30D2">
        <w:rPr>
          <w:color w:val="000000"/>
        </w:rPr>
        <w:t>“Principal entity” means a person, other than an individual, that is a principal.</w:t>
      </w:r>
    </w:p>
    <w:p w:rsidR="00DA30D2" w:rsidRPr="00DA30D2" w:rsidRDefault="00DA30D2" w:rsidP="00DA30D2">
      <w:pPr>
        <w:pStyle w:val="p2"/>
        <w:ind w:firstLine="389"/>
        <w:rPr>
          <w:color w:val="000000"/>
        </w:rPr>
      </w:pPr>
      <w:r w:rsidRPr="008F2895">
        <w:rPr>
          <w:strike/>
          <w:color w:val="000000"/>
        </w:rPr>
        <w:t>(27)</w:t>
      </w:r>
      <w:r w:rsidRPr="00DA30D2">
        <w:rPr>
          <w:color w:val="000000"/>
        </w:rPr>
        <w:t xml:space="preserve"> </w:t>
      </w:r>
      <w:r w:rsidR="008F2895">
        <w:rPr>
          <w:b/>
          <w:color w:val="000000"/>
          <w:u w:val="single"/>
        </w:rPr>
        <w:t xml:space="preserve">(26) </w:t>
      </w:r>
      <w:r w:rsidRPr="00DA30D2">
        <w:rPr>
          <w:color w:val="000000"/>
        </w:rPr>
        <w:t>“Restricted area” means that part of a facility directly related to the operation of the gaming floor where access is specifically designated by the Commission as restricted, including:</w:t>
      </w:r>
    </w:p>
    <w:p w:rsidR="00DA30D2" w:rsidRPr="00DA30D2" w:rsidRDefault="00DA30D2" w:rsidP="00DA30D2">
      <w:pPr>
        <w:pStyle w:val="p3"/>
        <w:ind w:firstLine="590"/>
        <w:rPr>
          <w:color w:val="000000"/>
        </w:rPr>
      </w:pPr>
      <w:r w:rsidRPr="00DA30D2">
        <w:rPr>
          <w:color w:val="000000"/>
        </w:rPr>
        <w:t>(a) Cashier’s cage, including a satellite cashiers’ cage and ancillary offices;</w:t>
      </w:r>
    </w:p>
    <w:p w:rsidR="00DA30D2" w:rsidRPr="00DA30D2" w:rsidRDefault="00DA30D2" w:rsidP="00DA30D2">
      <w:pPr>
        <w:pStyle w:val="p3"/>
        <w:ind w:firstLine="590"/>
        <w:rPr>
          <w:color w:val="000000"/>
        </w:rPr>
      </w:pPr>
      <w:r w:rsidRPr="00DA30D2">
        <w:rPr>
          <w:color w:val="000000"/>
        </w:rPr>
        <w:t>(b) Computer space allocated to the central monitor and control system;</w:t>
      </w:r>
    </w:p>
    <w:p w:rsidR="00DA30D2" w:rsidRPr="00DA30D2" w:rsidRDefault="00DA30D2" w:rsidP="00DA30D2">
      <w:pPr>
        <w:pStyle w:val="p3"/>
        <w:ind w:firstLine="590"/>
        <w:rPr>
          <w:color w:val="000000"/>
        </w:rPr>
      </w:pPr>
      <w:r w:rsidRPr="00DA30D2">
        <w:rPr>
          <w:color w:val="000000"/>
        </w:rPr>
        <w:t>(c) Count room and trolley storage areas;</w:t>
      </w:r>
    </w:p>
    <w:p w:rsidR="00DA30D2" w:rsidRPr="00DA30D2" w:rsidRDefault="00DA30D2" w:rsidP="00DA30D2">
      <w:pPr>
        <w:pStyle w:val="p3"/>
        <w:ind w:firstLine="590"/>
        <w:rPr>
          <w:color w:val="000000"/>
        </w:rPr>
      </w:pPr>
      <w:r w:rsidRPr="00DA30D2">
        <w:rPr>
          <w:color w:val="000000"/>
        </w:rPr>
        <w:t>(d) Areas designated for the storage or repair of equipment of video lottery terminals or table game devices;</w:t>
      </w:r>
    </w:p>
    <w:p w:rsidR="00DA30D2" w:rsidRPr="00DA30D2" w:rsidRDefault="00DA30D2" w:rsidP="00DA30D2">
      <w:pPr>
        <w:pStyle w:val="p3"/>
        <w:ind w:firstLine="590"/>
        <w:rPr>
          <w:color w:val="000000"/>
        </w:rPr>
      </w:pPr>
      <w:r w:rsidRPr="00DA30D2">
        <w:rPr>
          <w:color w:val="000000"/>
        </w:rPr>
        <w:t>(e) Information technology department operations centers;</w:t>
      </w:r>
    </w:p>
    <w:p w:rsidR="00DA30D2" w:rsidRPr="00DA30D2" w:rsidRDefault="00DA30D2" w:rsidP="00DA30D2">
      <w:pPr>
        <w:pStyle w:val="p3"/>
        <w:ind w:firstLine="590"/>
        <w:rPr>
          <w:color w:val="000000"/>
        </w:rPr>
      </w:pPr>
      <w:r w:rsidRPr="00DA30D2">
        <w:rPr>
          <w:color w:val="000000"/>
        </w:rPr>
        <w:t>(f) Progressive controller locations;</w:t>
      </w:r>
    </w:p>
    <w:p w:rsidR="00DA30D2" w:rsidRPr="00DA30D2" w:rsidRDefault="00DA30D2" w:rsidP="00DA30D2">
      <w:pPr>
        <w:pStyle w:val="p3"/>
        <w:ind w:firstLine="590"/>
        <w:rPr>
          <w:color w:val="000000"/>
        </w:rPr>
      </w:pPr>
      <w:r w:rsidRPr="00DA30D2">
        <w:rPr>
          <w:color w:val="000000"/>
        </w:rPr>
        <w:t>(g) Surveillance monitoring rooms;</w:t>
      </w:r>
    </w:p>
    <w:p w:rsidR="00DA30D2" w:rsidRPr="00DA30D2" w:rsidRDefault="00DA30D2" w:rsidP="00DA30D2">
      <w:pPr>
        <w:pStyle w:val="p3"/>
        <w:ind w:firstLine="590"/>
        <w:rPr>
          <w:color w:val="000000"/>
        </w:rPr>
      </w:pPr>
      <w:r w:rsidRPr="00DA30D2">
        <w:rPr>
          <w:color w:val="000000"/>
        </w:rPr>
        <w:t>(h) Vault and armored car bay locations; and</w:t>
      </w:r>
    </w:p>
    <w:p w:rsidR="00DA30D2" w:rsidRPr="00DA30D2" w:rsidRDefault="00DA30D2" w:rsidP="00DA30D2">
      <w:pPr>
        <w:pStyle w:val="p3"/>
        <w:ind w:firstLine="590"/>
        <w:rPr>
          <w:color w:val="000000"/>
        </w:rPr>
      </w:pPr>
      <w:r w:rsidRPr="00DA30D2">
        <w:rPr>
          <w:color w:val="000000"/>
        </w:rPr>
        <w:t>(i) Any area that the facility operator has designated as restricted in its Commission-approved accounting an internal control systems.</w:t>
      </w:r>
    </w:p>
    <w:p w:rsidR="00DA30D2" w:rsidRPr="00DA30D2" w:rsidRDefault="00DA30D2" w:rsidP="00DA30D2">
      <w:pPr>
        <w:pStyle w:val="p2"/>
        <w:ind w:firstLine="389"/>
        <w:rPr>
          <w:color w:val="000000"/>
        </w:rPr>
      </w:pPr>
      <w:r w:rsidRPr="008F2895">
        <w:rPr>
          <w:strike/>
          <w:color w:val="000000"/>
        </w:rPr>
        <w:lastRenderedPageBreak/>
        <w:t>(28)</w:t>
      </w:r>
      <w:r w:rsidRPr="00DA30D2">
        <w:rPr>
          <w:color w:val="000000"/>
        </w:rPr>
        <w:t xml:space="preserve"> </w:t>
      </w:r>
      <w:r w:rsidR="008F2895">
        <w:rPr>
          <w:b/>
          <w:color w:val="000000"/>
          <w:u w:val="single"/>
        </w:rPr>
        <w:t xml:space="preserve">(27) </w:t>
      </w:r>
      <w:r w:rsidRPr="00DA30D2">
        <w:rPr>
          <w:color w:val="000000"/>
        </w:rPr>
        <w:t>“Signature” means, at a minimum, an employee’s first initial, last name, and Commission license number, written by the employee.</w:t>
      </w:r>
    </w:p>
    <w:p w:rsidR="00DA30D2" w:rsidRPr="00DA30D2" w:rsidRDefault="00DA30D2" w:rsidP="00DA30D2">
      <w:pPr>
        <w:pStyle w:val="p2"/>
        <w:ind w:firstLine="389"/>
        <w:rPr>
          <w:color w:val="000000"/>
        </w:rPr>
      </w:pPr>
      <w:r w:rsidRPr="008F2895">
        <w:rPr>
          <w:strike/>
          <w:color w:val="000000"/>
        </w:rPr>
        <w:t>(29)</w:t>
      </w:r>
      <w:r w:rsidRPr="00DA30D2">
        <w:rPr>
          <w:color w:val="000000"/>
        </w:rPr>
        <w:t xml:space="preserve"> </w:t>
      </w:r>
      <w:r w:rsidR="008F2895">
        <w:rPr>
          <w:b/>
          <w:color w:val="000000"/>
          <w:u w:val="single"/>
        </w:rPr>
        <w:t xml:space="preserve">(28) </w:t>
      </w:r>
      <w:r w:rsidRPr="00DA30D2">
        <w:rPr>
          <w:color w:val="000000"/>
        </w:rPr>
        <w:t>Table Game Equipment.</w:t>
      </w:r>
    </w:p>
    <w:p w:rsidR="00DA30D2" w:rsidRPr="00DA30D2" w:rsidRDefault="00DA30D2" w:rsidP="00DA30D2">
      <w:pPr>
        <w:pStyle w:val="p3"/>
        <w:ind w:firstLine="590"/>
        <w:rPr>
          <w:color w:val="000000"/>
        </w:rPr>
      </w:pPr>
      <w:r w:rsidRPr="00DA30D2">
        <w:rPr>
          <w:color w:val="000000"/>
        </w:rPr>
        <w:t>(a) “Table game equipment” means equipment that is related to the operation of table games and that is owned or leased by a video lottery facility and located on the video lottery facility’s premises, and includes table layouts, cards, dice, chips, shufflers, tiles, wheels, or any mechanical, electrical, or computerized device, apparatus, or supplies used to conduct a table game or designated by the Commission as table game equipment.</w:t>
      </w:r>
    </w:p>
    <w:p w:rsidR="00DA30D2" w:rsidRPr="00DA30D2" w:rsidRDefault="00DA30D2" w:rsidP="00DA30D2">
      <w:pPr>
        <w:pStyle w:val="p3"/>
        <w:ind w:firstLine="590"/>
        <w:rPr>
          <w:color w:val="000000"/>
        </w:rPr>
      </w:pPr>
      <w:r w:rsidRPr="00DA30D2">
        <w:rPr>
          <w:color w:val="000000"/>
        </w:rPr>
        <w:t>(b) “Table game equipment” does not mean:</w:t>
      </w:r>
    </w:p>
    <w:p w:rsidR="00DA30D2" w:rsidRPr="00DA30D2" w:rsidRDefault="00DA30D2" w:rsidP="00DA30D2">
      <w:pPr>
        <w:pStyle w:val="p4"/>
        <w:ind w:firstLine="792"/>
        <w:rPr>
          <w:color w:val="000000"/>
        </w:rPr>
      </w:pPr>
      <w:r w:rsidRPr="00DA30D2">
        <w:rPr>
          <w:color w:val="000000"/>
        </w:rPr>
        <w:t>(i) A table or base that does not have a layout, device, or design that is attributable to a specific table game; or</w:t>
      </w:r>
    </w:p>
    <w:p w:rsidR="00DA30D2" w:rsidRPr="00DA30D2" w:rsidRDefault="00DA30D2" w:rsidP="00DA30D2">
      <w:pPr>
        <w:pStyle w:val="p4"/>
        <w:ind w:firstLine="792"/>
        <w:rPr>
          <w:color w:val="000000"/>
        </w:rPr>
      </w:pPr>
      <w:r w:rsidRPr="00DA30D2">
        <w:rPr>
          <w:color w:val="000000"/>
        </w:rPr>
        <w:t>(ii) An item described in §B(29)(a) of this regulation that is unfinished or inoperable.</w:t>
      </w:r>
    </w:p>
    <w:p w:rsidR="00DA30D2" w:rsidRPr="00DA30D2" w:rsidRDefault="00DA30D2" w:rsidP="00DA30D2">
      <w:pPr>
        <w:pStyle w:val="p2"/>
        <w:ind w:firstLine="389"/>
        <w:rPr>
          <w:color w:val="000000"/>
        </w:rPr>
      </w:pPr>
      <w:r w:rsidRPr="008F2895">
        <w:rPr>
          <w:strike/>
          <w:color w:val="000000"/>
        </w:rPr>
        <w:t>(30)</w:t>
      </w:r>
      <w:r w:rsidRPr="00DA30D2">
        <w:rPr>
          <w:color w:val="000000"/>
        </w:rPr>
        <w:t xml:space="preserve"> </w:t>
      </w:r>
      <w:r w:rsidR="008F2895">
        <w:rPr>
          <w:b/>
          <w:color w:val="000000"/>
          <w:u w:val="single"/>
        </w:rPr>
        <w:t xml:space="preserve">(29) </w:t>
      </w:r>
      <w:r w:rsidRPr="00DA30D2">
        <w:rPr>
          <w:color w:val="000000"/>
        </w:rPr>
        <w:t>“Terminal” means a computerized unit specifically designed for issuing and processing tickets and for printing of special reports.</w:t>
      </w:r>
    </w:p>
    <w:p w:rsidR="00DA30D2" w:rsidRPr="00DA30D2" w:rsidRDefault="00DA30D2" w:rsidP="00DA30D2">
      <w:pPr>
        <w:pStyle w:val="p2"/>
        <w:ind w:firstLine="389"/>
        <w:rPr>
          <w:color w:val="000000"/>
        </w:rPr>
      </w:pPr>
      <w:r w:rsidRPr="008F2895">
        <w:rPr>
          <w:strike/>
          <w:color w:val="000000"/>
        </w:rPr>
        <w:t>(31)</w:t>
      </w:r>
      <w:r w:rsidRPr="00DA30D2">
        <w:rPr>
          <w:color w:val="000000"/>
        </w:rPr>
        <w:t xml:space="preserve"> </w:t>
      </w:r>
      <w:r w:rsidR="008F2895">
        <w:rPr>
          <w:b/>
          <w:color w:val="000000"/>
          <w:u w:val="single"/>
        </w:rPr>
        <w:t xml:space="preserve">(30) </w:t>
      </w:r>
      <w:r w:rsidRPr="00DA30D2">
        <w:rPr>
          <w:color w:val="000000"/>
        </w:rPr>
        <w:t>“Value chip” means a chip that contains a denomination on each face.</w:t>
      </w:r>
    </w:p>
    <w:p w:rsidR="005852BB" w:rsidRDefault="005852BB"/>
    <w:sectPr w:rsidR="005852BB" w:rsidSect="00C12D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CB" w:rsidRDefault="00463ACB" w:rsidP="00831BF3">
      <w:pPr>
        <w:spacing w:after="0" w:line="240" w:lineRule="auto"/>
      </w:pPr>
      <w:r>
        <w:separator/>
      </w:r>
    </w:p>
  </w:endnote>
  <w:endnote w:type="continuationSeparator" w:id="0">
    <w:p w:rsidR="00463ACB" w:rsidRDefault="00463ACB" w:rsidP="0083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D5" w:rsidRDefault="003D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F3" w:rsidRPr="00465C11" w:rsidRDefault="00831BF3" w:rsidP="00465C11">
    <w:pPr>
      <w:pStyle w:val="Footer"/>
      <w:jc w:val="both"/>
      <w:rPr>
        <w:rFonts w:ascii="Times New Roman" w:hAnsi="Times New Roman" w:cs="Times New Roman"/>
        <w:sz w:val="24"/>
        <w:szCs w:val="24"/>
      </w:rPr>
    </w:pPr>
    <w:r w:rsidRPr="00465C11">
      <w:rPr>
        <w:rFonts w:ascii="Times New Roman" w:hAnsi="Times New Roman" w:cs="Times New Roman"/>
        <w:sz w:val="24"/>
        <w:szCs w:val="24"/>
      </w:rPr>
      <w:t>____________________________</w:t>
    </w:r>
  </w:p>
  <w:p w:rsidR="00831BF3" w:rsidRPr="00465C11" w:rsidRDefault="00831BF3" w:rsidP="00465C11">
    <w:pPr>
      <w:pStyle w:val="Footer"/>
      <w:jc w:val="both"/>
      <w:rPr>
        <w:rFonts w:ascii="Times New Roman" w:hAnsi="Times New Roman" w:cs="Times New Roman"/>
        <w:sz w:val="24"/>
        <w:szCs w:val="24"/>
      </w:rPr>
    </w:pPr>
  </w:p>
  <w:p w:rsidR="00831BF3" w:rsidRPr="00465C11" w:rsidRDefault="00831BF3" w:rsidP="00465C11">
    <w:pPr>
      <w:pStyle w:val="Footer"/>
      <w:jc w:val="both"/>
      <w:rPr>
        <w:rFonts w:ascii="Times New Roman" w:hAnsi="Times New Roman" w:cs="Times New Roman"/>
        <w:sz w:val="24"/>
        <w:szCs w:val="24"/>
      </w:rPr>
    </w:pPr>
    <w:r w:rsidRPr="00465C11">
      <w:rPr>
        <w:rFonts w:ascii="Times New Roman" w:hAnsi="Times New Roman" w:cs="Times New Roman"/>
        <w:sz w:val="24"/>
        <w:szCs w:val="24"/>
      </w:rPr>
      <w:t>For September 20, 2018 Commission.</w:t>
    </w:r>
  </w:p>
  <w:p w:rsidR="00831BF3" w:rsidRPr="00465C11" w:rsidRDefault="00831BF3" w:rsidP="00465C11">
    <w:pPr>
      <w:pStyle w:val="Footer"/>
      <w:jc w:val="both"/>
      <w:rPr>
        <w:rFonts w:ascii="Times New Roman" w:hAnsi="Times New Roman" w:cs="Times New Roman"/>
        <w:sz w:val="24"/>
        <w:szCs w:val="24"/>
      </w:rPr>
    </w:pPr>
  </w:p>
  <w:p w:rsidR="00831BF3" w:rsidRDefault="007B554B" w:rsidP="00465C11">
    <w:pPr>
      <w:pStyle w:val="Footer"/>
      <w:jc w:val="both"/>
      <w:rPr>
        <w:rFonts w:ascii="Times New Roman" w:hAnsi="Times New Roman" w:cs="Times New Roman"/>
        <w:sz w:val="24"/>
        <w:szCs w:val="24"/>
      </w:rPr>
    </w:pPr>
    <w:r>
      <w:rPr>
        <w:rFonts w:ascii="Times New Roman" w:hAnsi="Times New Roman" w:cs="Times New Roman"/>
        <w:sz w:val="24"/>
        <w:szCs w:val="24"/>
      </w:rPr>
      <w:t>In</w:t>
    </w:r>
    <w:r w:rsidR="00831BF3" w:rsidRPr="00465C11">
      <w:rPr>
        <w:rFonts w:ascii="Times New Roman" w:hAnsi="Times New Roman" w:cs="Times New Roman"/>
        <w:sz w:val="24"/>
        <w:szCs w:val="24"/>
      </w:rPr>
      <w:t xml:space="preserve"> Staff’s review of Lottery regulations, the definition of “player”</w:t>
    </w:r>
    <w:r w:rsidR="00465C11" w:rsidRPr="00465C11">
      <w:rPr>
        <w:rFonts w:ascii="Times New Roman" w:hAnsi="Times New Roman" w:cs="Times New Roman"/>
        <w:sz w:val="24"/>
        <w:szCs w:val="24"/>
      </w:rPr>
      <w:t xml:space="preserve"> was added to COMAR 36.01.01.01; the definitions in that regulation apply to players of all the activities that the Commission and Agency regulate.  There is no need for a separate definition of “player” in COMAR 36.03.02, </w:t>
    </w:r>
    <w:r w:rsidR="00465C11">
      <w:rPr>
        <w:rFonts w:ascii="Times New Roman" w:hAnsi="Times New Roman" w:cs="Times New Roman"/>
        <w:sz w:val="24"/>
        <w:szCs w:val="24"/>
      </w:rPr>
      <w:t xml:space="preserve">so </w:t>
    </w:r>
    <w:r w:rsidR="00465C11" w:rsidRPr="00465C11">
      <w:rPr>
        <w:rFonts w:ascii="Times New Roman" w:hAnsi="Times New Roman" w:cs="Times New Roman"/>
        <w:sz w:val="24"/>
        <w:szCs w:val="24"/>
      </w:rPr>
      <w:t>this amendment would delete it.</w:t>
    </w:r>
  </w:p>
  <w:p w:rsidR="00C12D6B" w:rsidRDefault="00C12D6B" w:rsidP="00465C11">
    <w:pPr>
      <w:pStyle w:val="Footer"/>
      <w:jc w:val="both"/>
      <w:rPr>
        <w:rFonts w:ascii="Times New Roman" w:hAnsi="Times New Roman" w:cs="Times New Roman"/>
        <w:sz w:val="24"/>
        <w:szCs w:val="24"/>
      </w:rPr>
    </w:pPr>
  </w:p>
  <w:p w:rsidR="00C12D6B" w:rsidRPr="00C12D6B" w:rsidRDefault="00C12D6B" w:rsidP="00465C11">
    <w:pPr>
      <w:pStyle w:val="Footer"/>
      <w:jc w:val="both"/>
      <w:rPr>
        <w:rFonts w:ascii="Times New Roman" w:hAnsi="Times New Roman" w:cs="Times New Roman"/>
        <w:i/>
        <w:sz w:val="20"/>
        <w:szCs w:val="20"/>
      </w:rPr>
    </w:pPr>
    <w:r w:rsidRPr="00C12D6B">
      <w:rPr>
        <w:rFonts w:ascii="Times New Roman" w:hAnsi="Times New Roman" w:cs="Times New Roman"/>
        <w:i/>
        <w:sz w:val="20"/>
        <w:szCs w:val="20"/>
      </w:rPr>
      <w:t>Revised September</w:t>
    </w:r>
    <w:r w:rsidR="007B554B">
      <w:rPr>
        <w:rFonts w:ascii="Times New Roman" w:hAnsi="Times New Roman" w:cs="Times New Roman"/>
        <w:i/>
        <w:sz w:val="20"/>
        <w:szCs w:val="20"/>
      </w:rPr>
      <w:t xml:space="preserve"> </w:t>
    </w:r>
    <w:r w:rsidR="003D7ED5">
      <w:rPr>
        <w:rFonts w:ascii="Times New Roman" w:hAnsi="Times New Roman" w:cs="Times New Roman"/>
        <w:i/>
        <w:sz w:val="20"/>
        <w:szCs w:val="20"/>
      </w:rPr>
      <w:t>10</w:t>
    </w:r>
    <w:bookmarkStart w:id="0" w:name="_GoBack"/>
    <w:bookmarkEnd w:id="0"/>
    <w:r w:rsidRPr="00C12D6B">
      <w:rPr>
        <w:rFonts w:ascii="Times New Roman" w:hAnsi="Times New Roman" w:cs="Times New Roman"/>
        <w:i/>
        <w:sz w:val="20"/>
        <w:szCs w:val="20"/>
      </w:rPr>
      <w:t>, 2018</w:t>
    </w:r>
  </w:p>
  <w:p w:rsidR="00C12D6B" w:rsidRPr="00465C11" w:rsidRDefault="00C12D6B" w:rsidP="00C12D6B">
    <w:pPr>
      <w:pStyle w:val="Footer"/>
      <w:jc w:val="center"/>
      <w:rPr>
        <w:rFonts w:ascii="Times New Roman" w:hAnsi="Times New Roman" w:cs="Times New Roman"/>
        <w:sz w:val="24"/>
        <w:szCs w:val="24"/>
      </w:rPr>
    </w:pPr>
    <w:r w:rsidRPr="00C12D6B">
      <w:rPr>
        <w:rFonts w:ascii="Times New Roman" w:hAnsi="Times New Roman" w:cs="Times New Roman"/>
        <w:sz w:val="24"/>
        <w:szCs w:val="24"/>
      </w:rPr>
      <w:fldChar w:fldCharType="begin"/>
    </w:r>
    <w:r w:rsidRPr="00C12D6B">
      <w:rPr>
        <w:rFonts w:ascii="Times New Roman" w:hAnsi="Times New Roman" w:cs="Times New Roman"/>
        <w:sz w:val="24"/>
        <w:szCs w:val="24"/>
      </w:rPr>
      <w:instrText xml:space="preserve"> PAGE   \* MERGEFORMAT </w:instrText>
    </w:r>
    <w:r w:rsidRPr="00C12D6B">
      <w:rPr>
        <w:rFonts w:ascii="Times New Roman" w:hAnsi="Times New Roman" w:cs="Times New Roman"/>
        <w:sz w:val="24"/>
        <w:szCs w:val="24"/>
      </w:rPr>
      <w:fldChar w:fldCharType="separate"/>
    </w:r>
    <w:r w:rsidR="003D7ED5">
      <w:rPr>
        <w:rFonts w:ascii="Times New Roman" w:hAnsi="Times New Roman" w:cs="Times New Roman"/>
        <w:noProof/>
        <w:sz w:val="24"/>
        <w:szCs w:val="24"/>
      </w:rPr>
      <w:t>1</w:t>
    </w:r>
    <w:r w:rsidRPr="00C12D6B">
      <w:rPr>
        <w:rFonts w:ascii="Times New Roman" w:hAnsi="Times New Roman" w:cs="Times New Roman"/>
        <w:noProof/>
        <w:sz w:val="24"/>
        <w:szCs w:val="24"/>
      </w:rPr>
      <w:fldChar w:fldCharType="end"/>
    </w:r>
  </w:p>
  <w:p w:rsidR="00831BF3" w:rsidRDefault="00831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D5" w:rsidRDefault="003D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CB" w:rsidRDefault="00463ACB" w:rsidP="00831BF3">
      <w:pPr>
        <w:spacing w:after="0" w:line="240" w:lineRule="auto"/>
      </w:pPr>
      <w:r>
        <w:separator/>
      </w:r>
    </w:p>
  </w:footnote>
  <w:footnote w:type="continuationSeparator" w:id="0">
    <w:p w:rsidR="00463ACB" w:rsidRDefault="00463ACB" w:rsidP="00831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D5" w:rsidRDefault="003D7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466004"/>
      <w:docPartObj>
        <w:docPartGallery w:val="Watermarks"/>
        <w:docPartUnique/>
      </w:docPartObj>
    </w:sdtPr>
    <w:sdtEndPr/>
    <w:sdtContent>
      <w:p w:rsidR="007B554B" w:rsidRDefault="00463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D5" w:rsidRDefault="003D7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D2"/>
    <w:rsid w:val="00243DF9"/>
    <w:rsid w:val="003D7ED5"/>
    <w:rsid w:val="00463ACB"/>
    <w:rsid w:val="00465C11"/>
    <w:rsid w:val="005852BB"/>
    <w:rsid w:val="00727836"/>
    <w:rsid w:val="007B554B"/>
    <w:rsid w:val="00831BF3"/>
    <w:rsid w:val="008F2895"/>
    <w:rsid w:val="00C12D6B"/>
    <w:rsid w:val="00DA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48E338-C75A-4E80-93C5-19A3B55C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3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A3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A3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DA30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F3"/>
  </w:style>
  <w:style w:type="paragraph" w:styleId="Footer">
    <w:name w:val="footer"/>
    <w:basedOn w:val="Normal"/>
    <w:link w:val="FooterChar"/>
    <w:uiPriority w:val="99"/>
    <w:unhideWhenUsed/>
    <w:rsid w:val="0083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F3"/>
  </w:style>
  <w:style w:type="character" w:styleId="LineNumber">
    <w:name w:val="line number"/>
    <w:basedOn w:val="DefaultParagraphFont"/>
    <w:uiPriority w:val="99"/>
    <w:semiHidden/>
    <w:unhideWhenUsed/>
    <w:rsid w:val="00C12D6B"/>
  </w:style>
  <w:style w:type="paragraph" w:styleId="BalloonText">
    <w:name w:val="Balloon Text"/>
    <w:basedOn w:val="Normal"/>
    <w:link w:val="BalloonTextChar"/>
    <w:uiPriority w:val="99"/>
    <w:semiHidden/>
    <w:unhideWhenUsed/>
    <w:rsid w:val="0024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Citko, Holly</dc:creator>
  <cp:keywords/>
  <dc:description/>
  <cp:lastModifiedBy>Jim Nielsen</cp:lastModifiedBy>
  <cp:revision>2</cp:revision>
  <cp:lastPrinted>2018-09-06T20:06:00Z</cp:lastPrinted>
  <dcterms:created xsi:type="dcterms:W3CDTF">2018-09-10T22:42:00Z</dcterms:created>
  <dcterms:modified xsi:type="dcterms:W3CDTF">2018-09-10T22:42:00Z</dcterms:modified>
</cp:coreProperties>
</file>