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40"/>
          <w:szCs w:val="40"/>
        </w:rPr>
        <w:t>MARYLAND LOTTERY and </w:t>
      </w:r>
    </w:p>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40"/>
          <w:szCs w:val="40"/>
        </w:rPr>
        <w:t>GAMING CONTROL COMMISSION</w:t>
      </w:r>
    </w:p>
    <w:p w:rsidR="00AC4738" w:rsidRDefault="00AC4738" w:rsidP="00AC4738">
      <w:pPr>
        <w:spacing w:after="0" w:line="240" w:lineRule="auto"/>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0"/>
          <w:szCs w:val="20"/>
        </w:rPr>
        <w:t>1800 Washington Blvd., Suite 330, Baltimore, Maryland 21230</w:t>
      </w:r>
    </w:p>
    <w:p w:rsidR="00AC4738" w:rsidRDefault="00AC4738" w:rsidP="00AC4738">
      <w:pPr>
        <w:spacing w:after="0" w:line="240" w:lineRule="auto"/>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noProof/>
          <w:color w:val="000000"/>
          <w:sz w:val="24"/>
          <w:szCs w:val="24"/>
          <w:bdr w:val="none" w:sz="0" w:space="0" w:color="auto" w:frame="1"/>
        </w:rPr>
        <w:drawing>
          <wp:inline distT="0" distB="0" distL="0" distR="0" wp14:anchorId="54CBF9E9" wp14:editId="303F4240">
            <wp:extent cx="5478145" cy="100965"/>
            <wp:effectExtent l="0" t="0" r="0" b="0"/>
            <wp:docPr id="1" name="Picture 1" descr="https://lh6.googleusercontent.com/7Kd-igK3YAnLOniqsF9f7bhegA4krmLVNsMkCF18s_T28_ELEQc6ERUdre6GJGUvwatKfRKMWlt8g-mG21oIaBFEHQ_KxEfUUREjtvzDMnrwlOoicZTkI418bh4pKF6lYfROwLkuO2uGoifMIQ5TNGHw7W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Kd-igK3YAnLOniqsF9f7bhegA4krmLVNsMkCF18s_T28_ELEQc6ERUdre6GJGUvwatKfRKMWlt8g-mG21oIaBFEHQ_KxEfUUREjtvzDMnrwlOoicZTkI418bh4pKF6lYfROwLkuO2uGoifMIQ5TNGHw7WN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100965"/>
                    </a:xfrm>
                    <a:prstGeom prst="rect">
                      <a:avLst/>
                    </a:prstGeom>
                    <a:noFill/>
                    <a:ln>
                      <a:noFill/>
                    </a:ln>
                  </pic:spPr>
                </pic:pic>
              </a:graphicData>
            </a:graphic>
          </wp:inline>
        </w:drawing>
      </w:r>
    </w:p>
    <w:p w:rsidR="00AC4738" w:rsidRDefault="00AC4738" w:rsidP="00AC4738">
      <w:pPr>
        <w:spacing w:after="0" w:line="240" w:lineRule="auto"/>
        <w:jc w:val="center"/>
        <w:rPr>
          <w:rFonts w:ascii="Times New Roman" w:eastAsia="Times New Roman" w:hAnsi="Times New Roman"/>
          <w:b/>
          <w:bCs/>
          <w:color w:val="000000"/>
          <w:sz w:val="48"/>
          <w:szCs w:val="48"/>
        </w:rPr>
      </w:pPr>
    </w:p>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48"/>
          <w:szCs w:val="48"/>
        </w:rPr>
        <w:t>COMMISSION REPORT</w:t>
      </w:r>
    </w:p>
    <w:p w:rsidR="00AC4738" w:rsidRDefault="00AC4738" w:rsidP="00AC4738">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p>
    <w:p w:rsidR="00AC4738" w:rsidRDefault="00AC4738" w:rsidP="00AC4738">
      <w:pPr>
        <w:spacing w:after="0" w:line="240" w:lineRule="auto"/>
        <w:jc w:val="center"/>
        <w:rPr>
          <w:rFonts w:ascii="Times New Roman" w:eastAsia="Times New Roman" w:hAnsi="Times New Roman"/>
          <w:sz w:val="24"/>
          <w:szCs w:val="24"/>
        </w:rPr>
      </w:pPr>
      <w:r>
        <w:rPr>
          <w:rFonts w:ascii="Arial" w:eastAsia="Times New Roman" w:hAnsi="Arial" w:cs="Arial"/>
          <w:noProof/>
          <w:color w:val="000000"/>
          <w:sz w:val="24"/>
          <w:szCs w:val="24"/>
          <w:bdr w:val="none" w:sz="0" w:space="0" w:color="auto" w:frame="1"/>
        </w:rPr>
        <w:drawing>
          <wp:inline distT="0" distB="0" distL="0" distR="0" wp14:anchorId="507E64CB" wp14:editId="1BEDA607">
            <wp:extent cx="3758565" cy="1610995"/>
            <wp:effectExtent l="0" t="0" r="0" b="0"/>
            <wp:docPr id="2" name="Picture 2" descr="https://lh5.googleusercontent.com/HiZ7Twf-EWxRvUguFk5dDj0Dt_8m3N4eKo57nIjxc-WT1aPRkjeRuM48_u7MgeJrZDXH_l7CcFJ595Mx5HCkY0-K5947GAXpRb1DTTUO5ZnwiaCoVL7oGB9KeSUxmUU7PhH7R_HIi1Kj8Ru-iODMHol0OY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HiZ7Twf-EWxRvUguFk5dDj0Dt_8m3N4eKo57nIjxc-WT1aPRkjeRuM48_u7MgeJrZDXH_l7CcFJ595Mx5HCkY0-K5947GAXpRb1DTTUO5ZnwiaCoVL7oGB9KeSUxmUU7PhH7R_HIi1Kj8Ru-iODMHol0OYC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8565" cy="1610995"/>
                    </a:xfrm>
                    <a:prstGeom prst="rect">
                      <a:avLst/>
                    </a:prstGeom>
                    <a:noFill/>
                    <a:ln>
                      <a:noFill/>
                    </a:ln>
                  </pic:spPr>
                </pic:pic>
              </a:graphicData>
            </a:graphic>
          </wp:inline>
        </w:drawing>
      </w:r>
    </w:p>
    <w:p w:rsidR="00AC4738" w:rsidRDefault="00AC4738" w:rsidP="00AC4738">
      <w:pPr>
        <w:spacing w:after="240" w:line="240" w:lineRule="auto"/>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36"/>
          <w:szCs w:val="36"/>
        </w:rPr>
        <w:t>Acquisition of Interblock d.d. (Manufacturer)</w:t>
      </w:r>
    </w:p>
    <w:p w:rsidR="00AC4738" w:rsidRDefault="00AC4738" w:rsidP="00AC4738">
      <w:pPr>
        <w:spacing w:after="0" w:line="240" w:lineRule="auto"/>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36"/>
          <w:szCs w:val="36"/>
        </w:rPr>
        <w:t>by</w:t>
      </w:r>
    </w:p>
    <w:p w:rsidR="00AC4738" w:rsidRDefault="00AC4738" w:rsidP="00AC4738">
      <w:pPr>
        <w:spacing w:after="0" w:line="240" w:lineRule="auto"/>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36"/>
          <w:szCs w:val="36"/>
        </w:rPr>
        <w:t>OCM Luxembourg Baccarat Bidco S.à.r.l., Luxembourg (Non-VoteCo)</w:t>
      </w:r>
    </w:p>
    <w:p w:rsidR="00AC4738" w:rsidRDefault="00AC4738" w:rsidP="00AC4738">
      <w:pPr>
        <w:spacing w:after="240" w:line="240" w:lineRule="auto"/>
        <w:rPr>
          <w:rFonts w:ascii="Times New Roman" w:eastAsia="Times New Roman" w:hAnsi="Times New Roman"/>
          <w:sz w:val="24"/>
          <w:szCs w:val="24"/>
        </w:rPr>
      </w:pPr>
      <w:r>
        <w:rPr>
          <w:rFonts w:ascii="Times New Roman" w:eastAsia="Times New Roman" w:hAnsi="Times New Roman"/>
          <w:sz w:val="24"/>
          <w:szCs w:val="24"/>
        </w:rPr>
        <w:br/>
      </w:r>
      <w:r>
        <w:rPr>
          <w:rFonts w:ascii="Arial" w:eastAsia="Times New Roman" w:hAnsi="Arial" w:cs="Arial"/>
          <w:noProof/>
          <w:color w:val="000000"/>
          <w:sz w:val="24"/>
          <w:szCs w:val="24"/>
          <w:bdr w:val="none" w:sz="0" w:space="0" w:color="auto" w:frame="1"/>
        </w:rPr>
        <w:drawing>
          <wp:inline distT="0" distB="0" distL="0" distR="0" wp14:anchorId="07070BB3" wp14:editId="34588B80">
            <wp:extent cx="5478145" cy="100965"/>
            <wp:effectExtent l="0" t="0" r="0" b="0"/>
            <wp:docPr id="3" name="Picture 3" descr="https://lh6.googleusercontent.com/7Kd-igK3YAnLOniqsF9f7bhegA4krmLVNsMkCF18s_T28_ELEQc6ERUdre6GJGUvwatKfRKMWlt8g-mG21oIaBFEHQ_KxEfUUREjtvzDMnrwlOoicZTkI418bh4pKF6lYfROwLkuO2uGoifMIQ5TNGHw7W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7Kd-igK3YAnLOniqsF9f7bhegA4krmLVNsMkCF18s_T28_ELEQc6ERUdre6GJGUvwatKfRKMWlt8g-mG21oIaBFEHQ_KxEfUUREjtvzDMnrwlOoicZTkI418bh4pKF6lYfROwLkuO2uGoifMIQ5TNGHw7WN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100965"/>
                    </a:xfrm>
                    <a:prstGeom prst="rect">
                      <a:avLst/>
                    </a:prstGeom>
                    <a:noFill/>
                    <a:ln>
                      <a:noFill/>
                    </a:ln>
                  </pic:spPr>
                </pic:pic>
              </a:graphicData>
            </a:graphic>
          </wp:inline>
        </w:drawing>
      </w:r>
    </w:p>
    <w:p w:rsidR="00AC4738" w:rsidRDefault="00AC4738" w:rsidP="00AC4738">
      <w:pPr>
        <w:spacing w:after="0" w:line="240" w:lineRule="auto"/>
        <w:jc w:val="center"/>
        <w:rPr>
          <w:rFonts w:ascii="Times New Roman" w:eastAsia="Times New Roman" w:hAnsi="Times New Roman"/>
          <w:b/>
          <w:bCs/>
          <w:color w:val="000000"/>
          <w:sz w:val="30"/>
          <w:szCs w:val="30"/>
        </w:rPr>
      </w:pPr>
    </w:p>
    <w:p w:rsidR="00AC4738" w:rsidRDefault="00AC4738" w:rsidP="00AC4738">
      <w:pPr>
        <w:spacing w:after="0" w:line="240" w:lineRule="auto"/>
        <w:jc w:val="center"/>
        <w:rPr>
          <w:rFonts w:ascii="Times New Roman" w:eastAsia="Times New Roman" w:hAnsi="Times New Roman"/>
          <w:b/>
          <w:bCs/>
          <w:color w:val="000000"/>
          <w:sz w:val="30"/>
          <w:szCs w:val="30"/>
        </w:rPr>
      </w:pPr>
    </w:p>
    <w:p w:rsidR="00AC4738" w:rsidRDefault="00AC4738" w:rsidP="00AC4738">
      <w:pPr>
        <w:spacing w:after="0" w:line="240" w:lineRule="auto"/>
        <w:jc w:val="center"/>
        <w:rPr>
          <w:rFonts w:ascii="Times New Roman" w:eastAsia="Times New Roman" w:hAnsi="Times New Roman"/>
          <w:b/>
          <w:bCs/>
          <w:color w:val="000000"/>
          <w:sz w:val="30"/>
          <w:szCs w:val="30"/>
        </w:rPr>
      </w:pPr>
      <w:r>
        <w:rPr>
          <w:rFonts w:ascii="Times New Roman" w:eastAsia="Times New Roman" w:hAnsi="Times New Roman"/>
          <w:b/>
          <w:bCs/>
          <w:color w:val="000000"/>
          <w:sz w:val="30"/>
          <w:szCs w:val="30"/>
        </w:rPr>
        <w:t>Commission Meeting Date: May 26, 2022</w:t>
      </w:r>
    </w:p>
    <w:p w:rsidR="00AC4738" w:rsidRDefault="00AC4738" w:rsidP="00AC4738">
      <w:pPr>
        <w:spacing w:after="0" w:line="240" w:lineRule="auto"/>
        <w:jc w:val="center"/>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sz w:val="24"/>
          <w:szCs w:val="24"/>
        </w:rPr>
      </w:pPr>
    </w:p>
    <w:p w:rsidR="00AC4738" w:rsidRDefault="00AC4738" w:rsidP="00AC4738">
      <w:pPr>
        <w:spacing w:after="0" w:line="240" w:lineRule="auto"/>
        <w:jc w:val="center"/>
        <w:rPr>
          <w:rFonts w:ascii="Times New Roman" w:eastAsia="Times New Roman" w:hAnsi="Times New Roman"/>
          <w:color w:val="000000"/>
          <w:sz w:val="28"/>
          <w:szCs w:val="28"/>
        </w:rPr>
      </w:pPr>
      <w:r w:rsidRPr="00AC4738">
        <w:rPr>
          <w:rFonts w:ascii="Times New Roman" w:eastAsia="Times New Roman" w:hAnsi="Times New Roman"/>
          <w:b/>
          <w:sz w:val="40"/>
          <w:szCs w:val="24"/>
          <w:u w:val="single"/>
        </w:rPr>
        <w:t>Executive Summary</w:t>
      </w:r>
    </w:p>
    <w:p w:rsidR="00AC4738" w:rsidRDefault="00AC4738">
      <w:pPr>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9D5E8E" w:rsidRDefault="009D5E8E" w:rsidP="00AA400B">
      <w:pPr>
        <w:spacing w:before="120" w:after="120" w:line="480" w:lineRule="auto"/>
        <w:ind w:firstLine="720"/>
        <w:jc w:val="both"/>
        <w:rPr>
          <w:rFonts w:ascii="Times New Roman" w:eastAsia="Times New Roman" w:hAnsi="Times New Roman"/>
          <w:sz w:val="24"/>
          <w:szCs w:val="24"/>
        </w:rPr>
      </w:pPr>
      <w:r>
        <w:rPr>
          <w:rFonts w:ascii="Times New Roman" w:eastAsia="Times New Roman" w:hAnsi="Times New Roman"/>
          <w:color w:val="000000"/>
          <w:sz w:val="28"/>
          <w:szCs w:val="28"/>
        </w:rPr>
        <w:lastRenderedPageBreak/>
        <w:t>We are conducting a hearing on the acquisition of Interblock d.d., a manufacturer, by OCM Luxembourg Baccarat Bidco S.a.r.l., Luxembourg (</w:t>
      </w:r>
      <w:r w:rsidR="00735A97">
        <w:rPr>
          <w:rFonts w:ascii="Times New Roman" w:eastAsia="Times New Roman" w:hAnsi="Times New Roman"/>
          <w:color w:val="000000"/>
          <w:sz w:val="28"/>
          <w:szCs w:val="28"/>
        </w:rPr>
        <w:t>“</w:t>
      </w:r>
      <w:r>
        <w:rPr>
          <w:rFonts w:ascii="Times New Roman" w:eastAsia="Times New Roman" w:hAnsi="Times New Roman"/>
          <w:color w:val="000000"/>
          <w:sz w:val="28"/>
          <w:szCs w:val="28"/>
        </w:rPr>
        <w:t>Non-VoteCo</w:t>
      </w:r>
      <w:r w:rsidR="00735A97">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The Maryland Lottery and Gaming Control Agency is required by “The Gaming Law” to conduct an investigation to determine if </w:t>
      </w:r>
      <w:r w:rsidR="00AA400B">
        <w:rPr>
          <w:rFonts w:ascii="Times New Roman" w:eastAsia="Times New Roman" w:hAnsi="Times New Roman"/>
          <w:color w:val="000000"/>
          <w:sz w:val="28"/>
          <w:szCs w:val="28"/>
        </w:rPr>
        <w:t xml:space="preserve">Non-VoteCo </w:t>
      </w:r>
      <w:r>
        <w:rPr>
          <w:rFonts w:ascii="Times New Roman" w:eastAsia="Times New Roman" w:hAnsi="Times New Roman"/>
          <w:color w:val="000000"/>
          <w:sz w:val="28"/>
          <w:szCs w:val="28"/>
        </w:rPr>
        <w:t>is qualified to be awarded a manufacturer license.</w:t>
      </w:r>
    </w:p>
    <w:p w:rsidR="009D5E8E" w:rsidRDefault="009D5E8E" w:rsidP="00C36C25">
      <w:pPr>
        <w:spacing w:before="120" w:after="0" w:line="480" w:lineRule="auto"/>
        <w:jc w:val="both"/>
        <w:rPr>
          <w:rFonts w:ascii="Times New Roman" w:eastAsia="Times New Roman" w:hAnsi="Times New Roman"/>
          <w:sz w:val="24"/>
          <w:szCs w:val="24"/>
        </w:rPr>
      </w:pPr>
      <w:r>
        <w:rPr>
          <w:rFonts w:ascii="Times New Roman" w:eastAsia="Times New Roman" w:hAnsi="Times New Roman"/>
          <w:color w:val="000000"/>
          <w:sz w:val="28"/>
          <w:szCs w:val="28"/>
        </w:rPr>
        <w:t>      </w:t>
      </w:r>
      <w:r w:rsidR="006F2340">
        <w:rPr>
          <w:rFonts w:ascii="Times New Roman" w:eastAsia="Times New Roman" w:hAnsi="Times New Roman"/>
          <w:color w:val="000000"/>
          <w:sz w:val="28"/>
          <w:szCs w:val="28"/>
        </w:rPr>
        <w:t>The Commission has</w:t>
      </w:r>
      <w:r>
        <w:rPr>
          <w:rFonts w:ascii="Times New Roman" w:eastAsia="Times New Roman" w:hAnsi="Times New Roman"/>
          <w:color w:val="000000"/>
          <w:sz w:val="28"/>
          <w:szCs w:val="28"/>
        </w:rPr>
        <w:t xml:space="preserve"> been provided with the complete investigative report </w:t>
      </w:r>
      <w:r w:rsidR="00651758">
        <w:rPr>
          <w:rFonts w:ascii="Times New Roman" w:eastAsia="Times New Roman" w:hAnsi="Times New Roman"/>
          <w:color w:val="000000"/>
          <w:sz w:val="28"/>
          <w:szCs w:val="28"/>
        </w:rPr>
        <w:t xml:space="preserve">and </w:t>
      </w:r>
      <w:r w:rsidR="006F2340">
        <w:rPr>
          <w:rFonts w:ascii="Times New Roman" w:eastAsia="Times New Roman" w:hAnsi="Times New Roman"/>
          <w:color w:val="000000"/>
          <w:sz w:val="28"/>
          <w:szCs w:val="28"/>
        </w:rPr>
        <w:t>its</w:t>
      </w:r>
      <w:r w:rsidR="00651758">
        <w:rPr>
          <w:rFonts w:ascii="Times New Roman" w:eastAsia="Times New Roman" w:hAnsi="Times New Roman"/>
          <w:color w:val="000000"/>
          <w:sz w:val="28"/>
          <w:szCs w:val="28"/>
        </w:rPr>
        <w:t xml:space="preserve"> </w:t>
      </w:r>
      <w:r w:rsidR="006F2340">
        <w:rPr>
          <w:rFonts w:ascii="Times New Roman" w:eastAsia="Times New Roman" w:hAnsi="Times New Roman"/>
          <w:color w:val="000000"/>
          <w:sz w:val="28"/>
          <w:szCs w:val="28"/>
        </w:rPr>
        <w:t>incorporated do</w:t>
      </w:r>
      <w:r w:rsidR="00651758">
        <w:rPr>
          <w:rFonts w:ascii="Times New Roman" w:eastAsia="Times New Roman" w:hAnsi="Times New Roman"/>
          <w:color w:val="000000"/>
          <w:sz w:val="28"/>
          <w:szCs w:val="28"/>
        </w:rPr>
        <w:t>cuments</w:t>
      </w:r>
      <w:r>
        <w:rPr>
          <w:rFonts w:ascii="Times New Roman" w:eastAsia="Times New Roman" w:hAnsi="Times New Roman"/>
          <w:color w:val="000000"/>
          <w:sz w:val="28"/>
          <w:szCs w:val="28"/>
        </w:rPr>
        <w:t>.  You have also received a copy of the public report that was in your packets and made available on the agency website.  I will summarize the</w:t>
      </w:r>
      <w:r w:rsidR="008E551E">
        <w:rPr>
          <w:rFonts w:ascii="Times New Roman" w:eastAsia="Times New Roman" w:hAnsi="Times New Roman"/>
          <w:color w:val="000000"/>
          <w:sz w:val="28"/>
          <w:szCs w:val="28"/>
        </w:rPr>
        <w:t>se</w:t>
      </w:r>
      <w:r>
        <w:rPr>
          <w:rFonts w:ascii="Times New Roman" w:eastAsia="Times New Roman" w:hAnsi="Times New Roman"/>
          <w:color w:val="000000"/>
          <w:sz w:val="28"/>
          <w:szCs w:val="28"/>
        </w:rPr>
        <w:t xml:space="preserve"> reports.</w:t>
      </w:r>
    </w:p>
    <w:p w:rsidR="00AC4738" w:rsidRDefault="00AC4738" w:rsidP="00AC4738">
      <w:pPr>
        <w:spacing w:after="0" w:line="480" w:lineRule="auto"/>
        <w:jc w:val="both"/>
        <w:rPr>
          <w:rFonts w:ascii="Times New Roman" w:eastAsia="Times New Roman" w:hAnsi="Times New Roman"/>
          <w:sz w:val="24"/>
          <w:szCs w:val="24"/>
        </w:rPr>
      </w:pPr>
      <w:r>
        <w:rPr>
          <w:rFonts w:ascii="Times New Roman" w:eastAsia="Times New Roman" w:hAnsi="Times New Roman"/>
          <w:b/>
          <w:bCs/>
          <w:color w:val="000000"/>
          <w:sz w:val="28"/>
          <w:szCs w:val="28"/>
        </w:rPr>
        <w:t>Background</w:t>
      </w:r>
    </w:p>
    <w:p w:rsidR="00AC4738" w:rsidRDefault="00AC4738" w:rsidP="00C36C25">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color w:val="000000"/>
          <w:sz w:val="28"/>
          <w:szCs w:val="28"/>
        </w:rPr>
        <w:t>The Commission was provided notice of the proposed purchase of Interblock d.d.</w:t>
      </w:r>
      <w:r w:rsidR="00527B7E">
        <w:rPr>
          <w:rFonts w:ascii="Times New Roman" w:eastAsia="Times New Roman" w:hAnsi="Times New Roman"/>
          <w:color w:val="000000"/>
          <w:sz w:val="28"/>
          <w:szCs w:val="28"/>
        </w:rPr>
        <w:t>, a licensed gaming manufacturer</w:t>
      </w:r>
      <w:r w:rsidR="00B30950">
        <w:rPr>
          <w:rFonts w:ascii="Times New Roman" w:eastAsia="Times New Roman" w:hAnsi="Times New Roman"/>
          <w:color w:val="000000"/>
          <w:sz w:val="28"/>
          <w:szCs w:val="28"/>
        </w:rPr>
        <w:t>,</w:t>
      </w:r>
      <w:r w:rsidR="00527B7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by Non-VoteCo</w:t>
      </w:r>
      <w:r w:rsidRPr="00AC4738">
        <w:rPr>
          <w:rFonts w:ascii="Times New Roman" w:eastAsia="Times New Roman" w:hAnsi="Times New Roman"/>
          <w:color w:val="000000"/>
          <w:sz w:val="28"/>
          <w:szCs w:val="28"/>
        </w:rPr>
        <w:t xml:space="preserve"> </w:t>
      </w:r>
      <w:r w:rsidR="00EB290D">
        <w:rPr>
          <w:rFonts w:ascii="Times New Roman" w:eastAsia="Times New Roman" w:hAnsi="Times New Roman"/>
          <w:color w:val="000000"/>
          <w:sz w:val="28"/>
          <w:szCs w:val="28"/>
        </w:rPr>
        <w:t>a</w:t>
      </w:r>
      <w:r w:rsidR="008E551E">
        <w:rPr>
          <w:rFonts w:ascii="Times New Roman" w:eastAsia="Times New Roman" w:hAnsi="Times New Roman"/>
          <w:color w:val="000000"/>
          <w:sz w:val="28"/>
          <w:szCs w:val="28"/>
        </w:rPr>
        <w:t>s required by the Gaming Law</w:t>
      </w:r>
      <w:r>
        <w:rPr>
          <w:rFonts w:ascii="Times New Roman" w:eastAsia="Times New Roman" w:hAnsi="Times New Roman"/>
          <w:color w:val="000000"/>
          <w:sz w:val="28"/>
          <w:szCs w:val="28"/>
        </w:rPr>
        <w:t>. Non</w:t>
      </w:r>
      <w:r w:rsidR="006F2340">
        <w:rPr>
          <w:rFonts w:ascii="Times New Roman" w:eastAsia="Times New Roman" w:hAnsi="Times New Roman"/>
          <w:color w:val="000000"/>
          <w:sz w:val="28"/>
          <w:szCs w:val="28"/>
        </w:rPr>
        <w:t>-</w:t>
      </w:r>
      <w:r>
        <w:rPr>
          <w:rFonts w:ascii="Times New Roman" w:eastAsia="Times New Roman" w:hAnsi="Times New Roman"/>
          <w:color w:val="000000"/>
          <w:sz w:val="28"/>
          <w:szCs w:val="28"/>
        </w:rPr>
        <w:t>VoteCo is a private limited company organized under the laws of Luxembourg formed on October 19, 2020</w:t>
      </w:r>
      <w:r w:rsidR="00EB290D">
        <w:rPr>
          <w:rFonts w:ascii="Times New Roman" w:eastAsia="Times New Roman" w:hAnsi="Times New Roman"/>
          <w:color w:val="000000"/>
          <w:sz w:val="28"/>
          <w:szCs w:val="28"/>
        </w:rPr>
        <w:t xml:space="preserve">, and is </w:t>
      </w:r>
      <w:r>
        <w:rPr>
          <w:rFonts w:ascii="Times New Roman" w:eastAsia="Times New Roman" w:hAnsi="Times New Roman"/>
          <w:color w:val="000000"/>
          <w:sz w:val="28"/>
          <w:szCs w:val="28"/>
        </w:rPr>
        <w:t xml:space="preserve">a newly formed </w:t>
      </w:r>
      <w:r w:rsidR="00EB290D">
        <w:rPr>
          <w:rFonts w:ascii="Times New Roman" w:eastAsia="Times New Roman" w:hAnsi="Times New Roman"/>
          <w:color w:val="000000"/>
          <w:sz w:val="28"/>
          <w:szCs w:val="28"/>
        </w:rPr>
        <w:t>h</w:t>
      </w:r>
      <w:r>
        <w:rPr>
          <w:rFonts w:ascii="Times New Roman" w:eastAsia="Times New Roman" w:hAnsi="Times New Roman"/>
          <w:color w:val="000000"/>
          <w:sz w:val="28"/>
          <w:szCs w:val="28"/>
        </w:rPr>
        <w:t>olding company. </w:t>
      </w:r>
      <w:r w:rsidR="00AA400B">
        <w:rPr>
          <w:rFonts w:ascii="Times New Roman" w:eastAsia="Times New Roman" w:hAnsi="Times New Roman"/>
          <w:color w:val="000000"/>
          <w:sz w:val="28"/>
          <w:szCs w:val="28"/>
        </w:rPr>
        <w:t>The transfer of ownership from Licensee Interblock to Non-VoteCo requires Commission approval.</w:t>
      </w:r>
    </w:p>
    <w:p w:rsidR="000640DF" w:rsidRPr="000640DF" w:rsidRDefault="00093D93" w:rsidP="00AC4738">
      <w:pPr>
        <w:rPr>
          <w:rFonts w:ascii="Times New Roman" w:eastAsia="Times New Roman" w:hAnsi="Times New Roman"/>
          <w:b/>
          <w:color w:val="000000"/>
          <w:sz w:val="28"/>
          <w:szCs w:val="28"/>
        </w:rPr>
      </w:pPr>
      <w:r>
        <w:rPr>
          <w:rFonts w:ascii="Times New Roman" w:eastAsia="Times New Roman" w:hAnsi="Times New Roman"/>
          <w:b/>
          <w:color w:val="000000"/>
          <w:sz w:val="28"/>
          <w:szCs w:val="28"/>
        </w:rPr>
        <w:t>Ownership of NonVoteCo and its Affiliates</w:t>
      </w:r>
    </w:p>
    <w:p w:rsidR="0034162F" w:rsidRDefault="00B30950" w:rsidP="000640DF">
      <w:pPr>
        <w:spacing w:after="0" w:line="48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On December 16, 2020, </w:t>
      </w:r>
      <w:r w:rsidR="00EB290D">
        <w:rPr>
          <w:rFonts w:ascii="Times New Roman" w:eastAsia="Times New Roman" w:hAnsi="Times New Roman"/>
          <w:color w:val="000000"/>
          <w:sz w:val="28"/>
          <w:szCs w:val="28"/>
        </w:rPr>
        <w:t xml:space="preserve">Non-VoteCo </w:t>
      </w:r>
      <w:r>
        <w:rPr>
          <w:rFonts w:ascii="Times New Roman" w:eastAsia="Times New Roman" w:hAnsi="Times New Roman"/>
          <w:color w:val="000000"/>
          <w:sz w:val="28"/>
          <w:szCs w:val="28"/>
        </w:rPr>
        <w:t xml:space="preserve">entered into an Equity Purchase Agreement with Interblock d.d. to acquire 100% ownership </w:t>
      </w:r>
      <w:r w:rsidR="00AA400B">
        <w:rPr>
          <w:rFonts w:ascii="Times New Roman" w:eastAsia="Times New Roman" w:hAnsi="Times New Roman"/>
          <w:color w:val="000000"/>
          <w:sz w:val="28"/>
          <w:szCs w:val="28"/>
        </w:rPr>
        <w:t>of</w:t>
      </w:r>
      <w:r>
        <w:rPr>
          <w:rFonts w:ascii="Times New Roman" w:eastAsia="Times New Roman" w:hAnsi="Times New Roman"/>
          <w:color w:val="000000"/>
          <w:sz w:val="28"/>
          <w:szCs w:val="28"/>
        </w:rPr>
        <w:t xml:space="preserve"> Interblock</w:t>
      </w:r>
      <w:r w:rsidR="000640DF">
        <w:rPr>
          <w:rFonts w:ascii="Times New Roman" w:eastAsia="Times New Roman" w:hAnsi="Times New Roman"/>
          <w:color w:val="000000"/>
          <w:sz w:val="28"/>
          <w:szCs w:val="28"/>
        </w:rPr>
        <w:t xml:space="preserve"> upon closing of the </w:t>
      </w:r>
      <w:r w:rsidR="00AA400B">
        <w:rPr>
          <w:rFonts w:ascii="Times New Roman" w:eastAsia="Times New Roman" w:hAnsi="Times New Roman"/>
          <w:color w:val="000000"/>
          <w:sz w:val="28"/>
          <w:szCs w:val="28"/>
        </w:rPr>
        <w:t>acquisition</w:t>
      </w:r>
      <w:r w:rsidR="000640DF">
        <w:rPr>
          <w:rFonts w:ascii="Times New Roman" w:eastAsia="Times New Roman" w:hAnsi="Times New Roman"/>
          <w:color w:val="000000"/>
          <w:sz w:val="28"/>
          <w:szCs w:val="28"/>
        </w:rPr>
        <w:t xml:space="preserve">.  </w:t>
      </w:r>
      <w:r w:rsidR="0034162F" w:rsidRPr="0034162F">
        <w:rPr>
          <w:rFonts w:ascii="Times New Roman" w:eastAsia="Times New Roman" w:hAnsi="Times New Roman"/>
          <w:color w:val="000000"/>
          <w:sz w:val="28"/>
          <w:szCs w:val="28"/>
        </w:rPr>
        <w:t>Oaktree Special Situations Fund II, L.P.</w:t>
      </w:r>
      <w:r w:rsidR="00225AB1">
        <w:rPr>
          <w:rFonts w:ascii="Times New Roman" w:eastAsia="Times New Roman" w:hAnsi="Times New Roman"/>
          <w:color w:val="000000"/>
          <w:sz w:val="28"/>
          <w:szCs w:val="28"/>
        </w:rPr>
        <w:t>is</w:t>
      </w:r>
      <w:r w:rsidR="0034162F" w:rsidRPr="0034162F">
        <w:rPr>
          <w:rFonts w:ascii="Times New Roman" w:eastAsia="Times New Roman" w:hAnsi="Times New Roman"/>
          <w:color w:val="000000"/>
          <w:sz w:val="28"/>
          <w:szCs w:val="28"/>
        </w:rPr>
        <w:t xml:space="preserve"> a private equity </w:t>
      </w:r>
      <w:r w:rsidR="0034162F" w:rsidRPr="0034162F">
        <w:rPr>
          <w:rFonts w:ascii="Times New Roman" w:eastAsia="Times New Roman" w:hAnsi="Times New Roman"/>
          <w:color w:val="000000"/>
          <w:sz w:val="28"/>
          <w:szCs w:val="28"/>
        </w:rPr>
        <w:lastRenderedPageBreak/>
        <w:t>fund (the “Fund”)</w:t>
      </w:r>
      <w:r w:rsidR="0034162F">
        <w:rPr>
          <w:rFonts w:ascii="Times New Roman" w:eastAsia="Times New Roman" w:hAnsi="Times New Roman"/>
          <w:color w:val="000000"/>
          <w:sz w:val="28"/>
          <w:szCs w:val="28"/>
        </w:rPr>
        <w:t xml:space="preserve"> </w:t>
      </w:r>
      <w:r w:rsidR="00225AB1">
        <w:rPr>
          <w:rFonts w:ascii="Times New Roman" w:eastAsia="Times New Roman" w:hAnsi="Times New Roman"/>
          <w:color w:val="000000"/>
          <w:sz w:val="28"/>
          <w:szCs w:val="28"/>
        </w:rPr>
        <w:t xml:space="preserve">that has committed to contributing sufficient funding to Non-VoteCo. The Fund </w:t>
      </w:r>
      <w:r w:rsidR="0034162F" w:rsidRPr="0034162F">
        <w:rPr>
          <w:rFonts w:ascii="Times New Roman" w:eastAsia="Times New Roman" w:hAnsi="Times New Roman"/>
          <w:color w:val="000000"/>
          <w:sz w:val="28"/>
          <w:szCs w:val="28"/>
        </w:rPr>
        <w:t xml:space="preserve">managed by Oaktree Capital Management L.P., which is registered with the </w:t>
      </w:r>
      <w:r w:rsidR="00225AB1">
        <w:rPr>
          <w:rFonts w:ascii="Times New Roman" w:eastAsia="Times New Roman" w:hAnsi="Times New Roman"/>
          <w:color w:val="000000"/>
          <w:sz w:val="28"/>
          <w:szCs w:val="28"/>
        </w:rPr>
        <w:t>SEC.</w:t>
      </w:r>
      <w:r w:rsidR="0034162F" w:rsidRPr="0034162F">
        <w:rPr>
          <w:rFonts w:ascii="Times New Roman" w:eastAsia="Times New Roman" w:hAnsi="Times New Roman"/>
          <w:color w:val="000000"/>
          <w:sz w:val="28"/>
          <w:szCs w:val="28"/>
        </w:rPr>
        <w:t xml:space="preserve"> </w:t>
      </w:r>
      <w:r w:rsidR="00225AB1" w:rsidRPr="00225AB1">
        <w:rPr>
          <w:rFonts w:ascii="Times New Roman" w:eastAsia="Times New Roman" w:hAnsi="Times New Roman"/>
          <w:color w:val="000000"/>
          <w:sz w:val="28"/>
          <w:szCs w:val="28"/>
        </w:rPr>
        <w:t>The Fund has capital that is contributed by investors by limited partners.</w:t>
      </w:r>
      <w:r w:rsidR="00225AB1">
        <w:rPr>
          <w:rFonts w:ascii="Times New Roman" w:eastAsia="Times New Roman" w:hAnsi="Times New Roman"/>
          <w:color w:val="000000"/>
          <w:sz w:val="28"/>
          <w:szCs w:val="28"/>
        </w:rPr>
        <w:t xml:space="preserve"> Oaktree Capital Management, L.P. manages the Fund and is affiliated with Oaktree Capital Group, LLC, a public reporting company.</w:t>
      </w:r>
      <w:r w:rsidR="00225AB1" w:rsidRPr="00225AB1">
        <w:t xml:space="preserve"> </w:t>
      </w:r>
      <w:r w:rsidR="00225AB1" w:rsidRPr="00225AB1">
        <w:rPr>
          <w:rFonts w:ascii="Times New Roman" w:eastAsia="Times New Roman" w:hAnsi="Times New Roman"/>
          <w:color w:val="000000"/>
          <w:sz w:val="28"/>
          <w:szCs w:val="28"/>
        </w:rPr>
        <w:t>Oaktree Capital Group LLC owns all of the entities in the Fund.</w:t>
      </w:r>
    </w:p>
    <w:p w:rsidR="0034162F" w:rsidRPr="0034162F" w:rsidRDefault="00093D93" w:rsidP="0034162F">
      <w:pPr>
        <w:spacing w:after="0" w:line="48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Transfer of Ownership</w:t>
      </w:r>
    </w:p>
    <w:p w:rsidR="00093D93" w:rsidRDefault="00D8359D" w:rsidP="000640DF">
      <w:pPr>
        <w:spacing w:after="0" w:line="48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93D93">
        <w:rPr>
          <w:rFonts w:ascii="Times New Roman" w:eastAsia="Times New Roman" w:hAnsi="Times New Roman"/>
          <w:color w:val="000000"/>
          <w:sz w:val="28"/>
          <w:szCs w:val="28"/>
        </w:rPr>
        <w:t>After</w:t>
      </w:r>
      <w:r>
        <w:rPr>
          <w:rFonts w:ascii="Times New Roman" w:eastAsia="Times New Roman" w:hAnsi="Times New Roman"/>
          <w:color w:val="000000"/>
          <w:sz w:val="28"/>
          <w:szCs w:val="28"/>
        </w:rPr>
        <w:t xml:space="preserve"> </w:t>
      </w:r>
      <w:r w:rsidR="00093D93">
        <w:rPr>
          <w:rFonts w:ascii="Times New Roman" w:eastAsia="Times New Roman" w:hAnsi="Times New Roman"/>
          <w:color w:val="000000"/>
          <w:sz w:val="28"/>
          <w:szCs w:val="28"/>
        </w:rPr>
        <w:t>the acquisition occurs</w:t>
      </w:r>
      <w:r>
        <w:rPr>
          <w:rFonts w:ascii="Times New Roman" w:eastAsia="Times New Roman" w:hAnsi="Times New Roman"/>
          <w:color w:val="000000"/>
          <w:sz w:val="28"/>
          <w:szCs w:val="28"/>
        </w:rPr>
        <w:t>, Oaktree Capital Group LLC</w:t>
      </w:r>
      <w:r w:rsidR="0034162F" w:rsidRPr="0034162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will have a</w:t>
      </w:r>
      <w:r w:rsidR="0034162F" w:rsidRPr="0034162F">
        <w:rPr>
          <w:rFonts w:ascii="Times New Roman" w:eastAsia="Times New Roman" w:hAnsi="Times New Roman"/>
          <w:color w:val="000000"/>
          <w:sz w:val="28"/>
          <w:szCs w:val="28"/>
        </w:rPr>
        <w:t xml:space="preserve"> majority controlling interest</w:t>
      </w:r>
      <w:r>
        <w:rPr>
          <w:rFonts w:ascii="Times New Roman" w:eastAsia="Times New Roman" w:hAnsi="Times New Roman"/>
          <w:color w:val="000000"/>
          <w:sz w:val="28"/>
          <w:szCs w:val="28"/>
        </w:rPr>
        <w:t xml:space="preserve"> in Interblock that is</w:t>
      </w:r>
      <w:r w:rsidR="0034162F" w:rsidRPr="0034162F">
        <w:rPr>
          <w:rFonts w:ascii="Times New Roman" w:eastAsia="Times New Roman" w:hAnsi="Times New Roman"/>
          <w:color w:val="000000"/>
          <w:sz w:val="28"/>
          <w:szCs w:val="28"/>
        </w:rPr>
        <w:t xml:space="preserve"> held by Howard S. Marks and Bruce A. Karsh.  </w:t>
      </w:r>
      <w:r w:rsidR="00093D93">
        <w:rPr>
          <w:rFonts w:ascii="Times New Roman" w:eastAsia="Times New Roman" w:hAnsi="Times New Roman"/>
          <w:color w:val="000000"/>
          <w:sz w:val="28"/>
          <w:szCs w:val="28"/>
        </w:rPr>
        <w:t>I</w:t>
      </w:r>
      <w:r w:rsidR="00F16689">
        <w:rPr>
          <w:rFonts w:ascii="Times New Roman" w:eastAsia="Times New Roman" w:hAnsi="Times New Roman"/>
          <w:color w:val="000000"/>
          <w:sz w:val="28"/>
          <w:szCs w:val="28"/>
        </w:rPr>
        <w:t xml:space="preserve">nterblock d.d. will be converted to Interblock d.o.o, a limited liability company organized under the laws of Slovenia. </w:t>
      </w:r>
      <w:r w:rsidR="0034162F">
        <w:rPr>
          <w:rFonts w:ascii="Times New Roman" w:eastAsia="Times New Roman" w:hAnsi="Times New Roman"/>
          <w:color w:val="000000"/>
          <w:sz w:val="28"/>
          <w:szCs w:val="28"/>
        </w:rPr>
        <w:t>As a result of this conversion the Fund will hold, indirectly through Non-VoteCo, 100% of the non-voting, economic equity interests in Interblock d.o.o. and IB OCM Voteco, an exempted company incorporated in the Cayman Islands (“VoteCo”)</w:t>
      </w:r>
      <w:r w:rsidR="00093D93">
        <w:rPr>
          <w:rFonts w:ascii="Times New Roman" w:eastAsia="Times New Roman" w:hAnsi="Times New Roman"/>
          <w:color w:val="000000"/>
          <w:sz w:val="28"/>
          <w:szCs w:val="28"/>
        </w:rPr>
        <w:t>. VoteCo</w:t>
      </w:r>
      <w:r w:rsidR="0034162F">
        <w:rPr>
          <w:rFonts w:ascii="Times New Roman" w:eastAsia="Times New Roman" w:hAnsi="Times New Roman"/>
          <w:color w:val="000000"/>
          <w:sz w:val="28"/>
          <w:szCs w:val="28"/>
        </w:rPr>
        <w:t xml:space="preserve"> will directly hold 100% of the voting, non-economic equity interests in Interblock d.o.o.</w:t>
      </w:r>
    </w:p>
    <w:p w:rsidR="000640DF" w:rsidRDefault="00871AEF" w:rsidP="000640DF">
      <w:pPr>
        <w:spacing w:after="0" w:line="48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David Quick, Jordan Kruse and Matthew Wilson are the sole members and directors of VoteCo and each are employed by Oaktree Capital Management, L.P., the investment manager of the Fund. </w:t>
      </w:r>
    </w:p>
    <w:p w:rsidR="00D8359D" w:rsidRDefault="00D8359D" w:rsidP="00C36C25">
      <w:pPr>
        <w:spacing w:after="0" w:line="240" w:lineRule="auto"/>
        <w:jc w:val="both"/>
        <w:rPr>
          <w:rFonts w:ascii="Times New Roman" w:eastAsia="Times New Roman" w:hAnsi="Times New Roman"/>
          <w:b/>
          <w:color w:val="000000"/>
          <w:sz w:val="28"/>
          <w:szCs w:val="28"/>
        </w:rPr>
      </w:pPr>
      <w:r w:rsidRPr="00D8359D">
        <w:rPr>
          <w:rFonts w:ascii="Times New Roman" w:eastAsia="Times New Roman" w:hAnsi="Times New Roman"/>
          <w:b/>
          <w:color w:val="000000"/>
          <w:sz w:val="28"/>
          <w:szCs w:val="28"/>
        </w:rPr>
        <w:t>Assurances</w:t>
      </w:r>
    </w:p>
    <w:p w:rsidR="00C36C25" w:rsidRPr="00C36C25" w:rsidRDefault="00C36C25" w:rsidP="00C36C25">
      <w:pPr>
        <w:spacing w:after="0" w:line="240" w:lineRule="auto"/>
        <w:jc w:val="both"/>
        <w:rPr>
          <w:rFonts w:ascii="Times New Roman" w:eastAsia="Times New Roman" w:hAnsi="Times New Roman"/>
          <w:b/>
          <w:color w:val="000000"/>
          <w:sz w:val="24"/>
          <w:szCs w:val="28"/>
        </w:rPr>
      </w:pPr>
      <w:bookmarkStart w:id="0" w:name="_GoBack"/>
      <w:bookmarkEnd w:id="0"/>
    </w:p>
    <w:p w:rsidR="00F16689" w:rsidRDefault="00F16689" w:rsidP="00871AEF">
      <w:pPr>
        <w:spacing w:after="0" w:line="48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By the Written Consent of the General Partner of Oaktree Special Situations Fund II. L.P., dated May 12, 2022 (the “Resolution”), the sole authority and control </w:t>
      </w:r>
      <w:r>
        <w:rPr>
          <w:rFonts w:ascii="Times New Roman" w:eastAsia="Times New Roman" w:hAnsi="Times New Roman"/>
          <w:color w:val="000000"/>
          <w:sz w:val="28"/>
          <w:szCs w:val="28"/>
        </w:rPr>
        <w:lastRenderedPageBreak/>
        <w:t xml:space="preserve">over the Fund’s passive investment in Interblock has been delegated to David Quick, Jordon Kruse and Matthew Wilson, </w:t>
      </w:r>
      <w:r w:rsidR="004E4F73">
        <w:rPr>
          <w:rFonts w:ascii="Times New Roman" w:eastAsia="Times New Roman" w:hAnsi="Times New Roman"/>
          <w:color w:val="000000"/>
          <w:sz w:val="28"/>
          <w:szCs w:val="28"/>
        </w:rPr>
        <w:t>whose</w:t>
      </w:r>
      <w:r>
        <w:rPr>
          <w:rFonts w:ascii="Times New Roman" w:eastAsia="Times New Roman" w:hAnsi="Times New Roman"/>
          <w:color w:val="000000"/>
          <w:sz w:val="28"/>
          <w:szCs w:val="28"/>
        </w:rPr>
        <w:t xml:space="preserve"> authority and control are separate and apart from their ownership and control over VoteCo.</w:t>
      </w:r>
      <w:r w:rsidR="00B44BF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w:t>
      </w:r>
      <w:r w:rsidR="00B44BF3" w:rsidRPr="00C36C25">
        <w:rPr>
          <w:rFonts w:ascii="Times New Roman" w:hAnsi="Times New Roman"/>
          <w:sz w:val="28"/>
          <w:szCs w:val="28"/>
        </w:rPr>
        <w:t>The Resolution not only delegates the passive investment to the directors of VoteCo, but it also vests them with the authority to select replacement directors of VoteCo.  In the event that all three directors of VoteCo are unable to serve, the Resolution delegates to Daniel Levin the authority to replace those directors.</w:t>
      </w:r>
      <w:r w:rsidR="004E4F73">
        <w:rPr>
          <w:rFonts w:ascii="Times New Roman" w:eastAsia="Times New Roman" w:hAnsi="Times New Roman"/>
          <w:color w:val="000000"/>
          <w:sz w:val="28"/>
          <w:szCs w:val="28"/>
        </w:rPr>
        <w:t xml:space="preserve"> </w:t>
      </w:r>
    </w:p>
    <w:p w:rsidR="00871AEF" w:rsidRDefault="00F16689" w:rsidP="004E3E96">
      <w:pPr>
        <w:spacing w:after="120" w:line="48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Mr. Marks and Mr. Karsh have each provided an affidavit to the Commission</w:t>
      </w:r>
      <w:r w:rsidR="00871AEF">
        <w:rPr>
          <w:rFonts w:ascii="Times New Roman" w:eastAsia="Times New Roman" w:hAnsi="Times New Roman"/>
          <w:color w:val="000000"/>
          <w:sz w:val="28"/>
          <w:szCs w:val="28"/>
        </w:rPr>
        <w:t xml:space="preserve"> acknowledging the Resolution and providing</w:t>
      </w:r>
      <w:r>
        <w:rPr>
          <w:rFonts w:ascii="Times New Roman" w:eastAsia="Times New Roman" w:hAnsi="Times New Roman"/>
          <w:color w:val="000000"/>
          <w:sz w:val="28"/>
          <w:szCs w:val="28"/>
        </w:rPr>
        <w:t xml:space="preserve"> assurances that </w:t>
      </w:r>
      <w:r w:rsidR="004E4F73">
        <w:rPr>
          <w:rFonts w:ascii="Times New Roman" w:eastAsia="Times New Roman" w:hAnsi="Times New Roman"/>
          <w:color w:val="000000"/>
          <w:sz w:val="28"/>
          <w:szCs w:val="28"/>
        </w:rPr>
        <w:t>they</w:t>
      </w:r>
      <w:r>
        <w:rPr>
          <w:rFonts w:ascii="Times New Roman" w:eastAsia="Times New Roman" w:hAnsi="Times New Roman"/>
          <w:color w:val="000000"/>
          <w:sz w:val="28"/>
          <w:szCs w:val="28"/>
        </w:rPr>
        <w:t xml:space="preserve"> will </w:t>
      </w:r>
      <w:r w:rsidR="004E4F73">
        <w:rPr>
          <w:rFonts w:ascii="Times New Roman" w:eastAsia="Times New Roman" w:hAnsi="Times New Roman"/>
          <w:color w:val="000000"/>
          <w:sz w:val="28"/>
          <w:szCs w:val="28"/>
        </w:rPr>
        <w:t xml:space="preserve">not </w:t>
      </w:r>
      <w:r>
        <w:rPr>
          <w:rFonts w:ascii="Times New Roman" w:eastAsia="Times New Roman" w:hAnsi="Times New Roman"/>
          <w:color w:val="000000"/>
          <w:sz w:val="28"/>
          <w:szCs w:val="28"/>
        </w:rPr>
        <w:t xml:space="preserve">control or be involved in </w:t>
      </w:r>
      <w:r w:rsidR="004E4F73">
        <w:rPr>
          <w:rFonts w:ascii="Times New Roman" w:eastAsia="Times New Roman" w:hAnsi="Times New Roman"/>
          <w:color w:val="000000"/>
          <w:sz w:val="28"/>
          <w:szCs w:val="28"/>
        </w:rPr>
        <w:t xml:space="preserve">managing Interblock in any way </w:t>
      </w:r>
      <w:r>
        <w:rPr>
          <w:rFonts w:ascii="Times New Roman" w:eastAsia="Times New Roman" w:hAnsi="Times New Roman"/>
          <w:color w:val="000000"/>
          <w:sz w:val="28"/>
          <w:szCs w:val="28"/>
        </w:rPr>
        <w:t xml:space="preserve">that relates to </w:t>
      </w:r>
      <w:r w:rsidR="004E4F73">
        <w:rPr>
          <w:rFonts w:ascii="Times New Roman" w:eastAsia="Times New Roman" w:hAnsi="Times New Roman"/>
          <w:color w:val="000000"/>
          <w:sz w:val="28"/>
          <w:szCs w:val="28"/>
        </w:rPr>
        <w:t>its gaming manufacturing</w:t>
      </w:r>
      <w:r>
        <w:rPr>
          <w:rFonts w:ascii="Times New Roman" w:eastAsia="Times New Roman" w:hAnsi="Times New Roman"/>
          <w:color w:val="000000"/>
          <w:sz w:val="28"/>
          <w:szCs w:val="28"/>
        </w:rPr>
        <w:t xml:space="preserve"> </w:t>
      </w:r>
      <w:r w:rsidR="004E4F73">
        <w:rPr>
          <w:rFonts w:ascii="Times New Roman" w:eastAsia="Times New Roman" w:hAnsi="Times New Roman"/>
          <w:color w:val="000000"/>
          <w:sz w:val="28"/>
          <w:szCs w:val="28"/>
        </w:rPr>
        <w:t>license</w:t>
      </w:r>
      <w:r>
        <w:rPr>
          <w:rFonts w:ascii="Times New Roman" w:eastAsia="Times New Roman" w:hAnsi="Times New Roman"/>
          <w:color w:val="000000"/>
          <w:sz w:val="28"/>
          <w:szCs w:val="28"/>
        </w:rPr>
        <w:t xml:space="preserve">. </w:t>
      </w:r>
      <w:r w:rsidR="00871AEF">
        <w:rPr>
          <w:rFonts w:ascii="Times New Roman" w:eastAsia="Times New Roman" w:hAnsi="Times New Roman"/>
          <w:color w:val="000000"/>
          <w:sz w:val="28"/>
          <w:szCs w:val="28"/>
        </w:rPr>
        <w:t xml:space="preserve">The Resolution is recognized in the </w:t>
      </w:r>
      <w:r w:rsidR="004E3E96">
        <w:rPr>
          <w:rFonts w:ascii="Times New Roman" w:eastAsia="Times New Roman" w:hAnsi="Times New Roman"/>
          <w:color w:val="000000"/>
          <w:sz w:val="28"/>
          <w:szCs w:val="28"/>
        </w:rPr>
        <w:t>“</w:t>
      </w:r>
      <w:r w:rsidR="00871AEF">
        <w:rPr>
          <w:rFonts w:ascii="Times New Roman" w:eastAsia="Times New Roman" w:hAnsi="Times New Roman"/>
          <w:color w:val="000000"/>
          <w:sz w:val="28"/>
          <w:szCs w:val="28"/>
        </w:rPr>
        <w:t>Articles of Association of the Company Interblock d.o.o</w:t>
      </w:r>
      <w:r w:rsidR="004E3E96">
        <w:rPr>
          <w:rFonts w:ascii="Times New Roman" w:eastAsia="Times New Roman" w:hAnsi="Times New Roman"/>
          <w:color w:val="000000"/>
          <w:sz w:val="28"/>
          <w:szCs w:val="28"/>
        </w:rPr>
        <w:t>”</w:t>
      </w:r>
      <w:r w:rsidR="00871AEF">
        <w:rPr>
          <w:rFonts w:ascii="Times New Roman" w:eastAsia="Times New Roman" w:hAnsi="Times New Roman"/>
          <w:color w:val="000000"/>
          <w:sz w:val="28"/>
          <w:szCs w:val="28"/>
        </w:rPr>
        <w:t>, so that Slovenia law would not otherwise supersede the Resolution.</w:t>
      </w:r>
    </w:p>
    <w:p w:rsidR="0023565D" w:rsidRDefault="0023565D" w:rsidP="0023565D">
      <w:pPr>
        <w:spacing w:after="0" w:line="480" w:lineRule="auto"/>
        <w:jc w:val="both"/>
        <w:rPr>
          <w:rFonts w:ascii="Times New Roman" w:eastAsia="Times New Roman" w:hAnsi="Times New Roman"/>
          <w:b/>
          <w:sz w:val="28"/>
          <w:szCs w:val="24"/>
        </w:rPr>
      </w:pPr>
      <w:r w:rsidRPr="0023565D">
        <w:rPr>
          <w:rFonts w:ascii="Times New Roman" w:eastAsia="Times New Roman" w:hAnsi="Times New Roman"/>
          <w:b/>
          <w:sz w:val="28"/>
          <w:szCs w:val="24"/>
        </w:rPr>
        <w:t>Maryland Gaming Requirements</w:t>
      </w:r>
    </w:p>
    <w:p w:rsidR="0023565D" w:rsidRDefault="004E3E96" w:rsidP="0023565D">
      <w:pPr>
        <w:spacing w:after="0" w:line="480" w:lineRule="auto"/>
        <w:jc w:val="both"/>
        <w:rPr>
          <w:rFonts w:ascii="Times New Roman" w:eastAsia="Times New Roman" w:hAnsi="Times New Roman"/>
          <w:sz w:val="28"/>
          <w:szCs w:val="24"/>
        </w:rPr>
      </w:pPr>
      <w:r>
        <w:rPr>
          <w:rFonts w:ascii="Times New Roman" w:eastAsia="Times New Roman" w:hAnsi="Times New Roman"/>
          <w:sz w:val="28"/>
          <w:szCs w:val="24"/>
        </w:rPr>
        <w:t xml:space="preserve">Together, the </w:t>
      </w:r>
      <w:r w:rsidR="0023565D" w:rsidRPr="0023565D">
        <w:rPr>
          <w:rFonts w:ascii="Times New Roman" w:eastAsia="Times New Roman" w:hAnsi="Times New Roman"/>
          <w:sz w:val="28"/>
          <w:szCs w:val="24"/>
        </w:rPr>
        <w:t>Equity Purchase Agreement, Resolution, Affidavits</w:t>
      </w:r>
      <w:r w:rsidR="00671E2A">
        <w:rPr>
          <w:rFonts w:ascii="Times New Roman" w:eastAsia="Times New Roman" w:hAnsi="Times New Roman"/>
          <w:sz w:val="28"/>
          <w:szCs w:val="24"/>
        </w:rPr>
        <w:t xml:space="preserve"> </w:t>
      </w:r>
      <w:r w:rsidR="0023565D" w:rsidRPr="0023565D">
        <w:rPr>
          <w:rFonts w:ascii="Times New Roman" w:eastAsia="Times New Roman" w:hAnsi="Times New Roman"/>
          <w:sz w:val="28"/>
          <w:szCs w:val="24"/>
        </w:rPr>
        <w:t>of Mr. Marks and Mr. Karsh,</w:t>
      </w:r>
      <w:r>
        <w:rPr>
          <w:rFonts w:ascii="Times New Roman" w:eastAsia="Times New Roman" w:hAnsi="Times New Roman"/>
          <w:sz w:val="28"/>
          <w:szCs w:val="24"/>
        </w:rPr>
        <w:t xml:space="preserve"> and the </w:t>
      </w:r>
      <w:r w:rsidR="0023565D" w:rsidRPr="0023565D">
        <w:rPr>
          <w:rFonts w:ascii="Times New Roman" w:eastAsia="Times New Roman" w:hAnsi="Times New Roman"/>
          <w:sz w:val="28"/>
          <w:szCs w:val="24"/>
        </w:rPr>
        <w:t>Articles of Association</w:t>
      </w:r>
      <w:r>
        <w:rPr>
          <w:rFonts w:ascii="Times New Roman" w:eastAsia="Times New Roman" w:hAnsi="Times New Roman"/>
          <w:sz w:val="28"/>
          <w:szCs w:val="24"/>
        </w:rPr>
        <w:t xml:space="preserve"> for Interblock d.o.o.</w:t>
      </w:r>
      <w:r w:rsidR="0023565D" w:rsidRPr="0023565D">
        <w:rPr>
          <w:rFonts w:ascii="Times New Roman" w:eastAsia="Times New Roman" w:hAnsi="Times New Roman"/>
          <w:sz w:val="28"/>
          <w:szCs w:val="24"/>
        </w:rPr>
        <w:t xml:space="preserve">, </w:t>
      </w:r>
      <w:r>
        <w:rPr>
          <w:rFonts w:ascii="Times New Roman" w:eastAsia="Times New Roman" w:hAnsi="Times New Roman"/>
          <w:sz w:val="28"/>
          <w:szCs w:val="24"/>
        </w:rPr>
        <w:t xml:space="preserve">provide sufficient information, documentation and assurances to satisfy Maryland Gaming Law requirements.  </w:t>
      </w:r>
      <w:r w:rsidR="0023565D" w:rsidRPr="0023565D">
        <w:rPr>
          <w:rFonts w:ascii="Times New Roman" w:eastAsia="Times New Roman" w:hAnsi="Times New Roman"/>
          <w:sz w:val="28"/>
          <w:szCs w:val="24"/>
        </w:rPr>
        <w:t>David Quick, Jordon Kruse and Matthew</w:t>
      </w:r>
      <w:r w:rsidR="00671E2A">
        <w:rPr>
          <w:rFonts w:ascii="Times New Roman" w:eastAsia="Times New Roman" w:hAnsi="Times New Roman"/>
          <w:sz w:val="28"/>
          <w:szCs w:val="24"/>
        </w:rPr>
        <w:t xml:space="preserve"> </w:t>
      </w:r>
      <w:r w:rsidR="0023565D" w:rsidRPr="0023565D">
        <w:rPr>
          <w:rFonts w:ascii="Times New Roman" w:eastAsia="Times New Roman" w:hAnsi="Times New Roman"/>
          <w:sz w:val="28"/>
          <w:szCs w:val="24"/>
        </w:rPr>
        <w:t>Wilson as directors of the Fund, and Daniel Levin as CFO of the Fund, have each</w:t>
      </w:r>
      <w:r w:rsidR="00671E2A">
        <w:rPr>
          <w:rFonts w:ascii="Times New Roman" w:eastAsia="Times New Roman" w:hAnsi="Times New Roman"/>
          <w:sz w:val="28"/>
          <w:szCs w:val="24"/>
        </w:rPr>
        <w:t xml:space="preserve"> </w:t>
      </w:r>
      <w:r w:rsidR="0023565D" w:rsidRPr="0023565D">
        <w:rPr>
          <w:rFonts w:ascii="Times New Roman" w:eastAsia="Times New Roman" w:hAnsi="Times New Roman"/>
          <w:sz w:val="28"/>
          <w:szCs w:val="24"/>
        </w:rPr>
        <w:t xml:space="preserve">submitted a Principal Employee </w:t>
      </w:r>
      <w:r>
        <w:rPr>
          <w:rFonts w:ascii="Times New Roman" w:eastAsia="Times New Roman" w:hAnsi="Times New Roman"/>
          <w:sz w:val="28"/>
          <w:szCs w:val="24"/>
        </w:rPr>
        <w:t xml:space="preserve">License </w:t>
      </w:r>
      <w:r w:rsidR="0023565D" w:rsidRPr="0023565D">
        <w:rPr>
          <w:rFonts w:ascii="Times New Roman" w:eastAsia="Times New Roman" w:hAnsi="Times New Roman"/>
          <w:sz w:val="28"/>
          <w:szCs w:val="24"/>
        </w:rPr>
        <w:t>Application.</w:t>
      </w:r>
    </w:p>
    <w:p w:rsidR="0023565D" w:rsidRPr="0023565D" w:rsidRDefault="0023565D" w:rsidP="0023565D">
      <w:pPr>
        <w:spacing w:after="0" w:line="480" w:lineRule="auto"/>
        <w:ind w:firstLine="720"/>
        <w:jc w:val="both"/>
        <w:rPr>
          <w:rFonts w:ascii="Times New Roman" w:eastAsia="Times New Roman" w:hAnsi="Times New Roman"/>
          <w:sz w:val="24"/>
          <w:szCs w:val="24"/>
        </w:rPr>
      </w:pPr>
      <w:r w:rsidRPr="0023565D">
        <w:rPr>
          <w:rFonts w:ascii="Times New Roman" w:eastAsia="Times New Roman" w:hAnsi="Times New Roman"/>
          <w:sz w:val="28"/>
          <w:szCs w:val="28"/>
        </w:rPr>
        <w:lastRenderedPageBreak/>
        <w:t xml:space="preserve">The </w:t>
      </w:r>
      <w:r w:rsidR="00B918A0">
        <w:rPr>
          <w:rFonts w:ascii="Times New Roman" w:eastAsia="Times New Roman" w:hAnsi="Times New Roman"/>
          <w:sz w:val="28"/>
          <w:szCs w:val="28"/>
        </w:rPr>
        <w:t>Agency</w:t>
      </w:r>
      <w:r w:rsidRPr="0023565D">
        <w:rPr>
          <w:rFonts w:ascii="Times New Roman" w:eastAsia="Times New Roman" w:hAnsi="Times New Roman"/>
          <w:sz w:val="28"/>
          <w:szCs w:val="28"/>
        </w:rPr>
        <w:t xml:space="preserve"> conducted a complete and thorough background investigation as </w:t>
      </w:r>
      <w:r w:rsidR="00B918A0">
        <w:rPr>
          <w:rFonts w:ascii="Times New Roman" w:eastAsia="Times New Roman" w:hAnsi="Times New Roman"/>
          <w:sz w:val="28"/>
          <w:szCs w:val="28"/>
        </w:rPr>
        <w:t>required by</w:t>
      </w:r>
      <w:r w:rsidRPr="0023565D">
        <w:rPr>
          <w:rFonts w:ascii="Times New Roman" w:eastAsia="Times New Roman" w:hAnsi="Times New Roman"/>
          <w:sz w:val="28"/>
          <w:szCs w:val="28"/>
        </w:rPr>
        <w:t xml:space="preserve"> the Gaming Law</w:t>
      </w:r>
      <w:r w:rsidR="00B918A0">
        <w:rPr>
          <w:rFonts w:ascii="Times New Roman" w:eastAsia="Times New Roman" w:hAnsi="Times New Roman"/>
          <w:sz w:val="28"/>
          <w:szCs w:val="28"/>
        </w:rPr>
        <w:t>,</w:t>
      </w:r>
      <w:r w:rsidRPr="0023565D">
        <w:rPr>
          <w:rFonts w:ascii="Times New Roman" w:eastAsia="Times New Roman" w:hAnsi="Times New Roman"/>
          <w:sz w:val="28"/>
          <w:szCs w:val="28"/>
        </w:rPr>
        <w:t xml:space="preserve"> by analyzing corporate records</w:t>
      </w:r>
      <w:r w:rsidR="00B918A0">
        <w:rPr>
          <w:rFonts w:ascii="Times New Roman" w:eastAsia="Times New Roman" w:hAnsi="Times New Roman"/>
          <w:sz w:val="28"/>
          <w:szCs w:val="28"/>
        </w:rPr>
        <w:t>,</w:t>
      </w:r>
      <w:r w:rsidRPr="0023565D">
        <w:rPr>
          <w:rFonts w:ascii="Times New Roman" w:eastAsia="Times New Roman" w:hAnsi="Times New Roman"/>
          <w:sz w:val="28"/>
          <w:szCs w:val="28"/>
        </w:rPr>
        <w:t xml:space="preserve"> documents, </w:t>
      </w:r>
      <w:r w:rsidR="00B918A0">
        <w:rPr>
          <w:rFonts w:ascii="Times New Roman" w:eastAsia="Times New Roman" w:hAnsi="Times New Roman"/>
          <w:sz w:val="28"/>
          <w:szCs w:val="28"/>
        </w:rPr>
        <w:t xml:space="preserve">business operations, </w:t>
      </w:r>
      <w:r w:rsidRPr="0023565D">
        <w:rPr>
          <w:rFonts w:ascii="Times New Roman" w:eastAsia="Times New Roman" w:hAnsi="Times New Roman"/>
          <w:sz w:val="28"/>
          <w:szCs w:val="28"/>
        </w:rPr>
        <w:t xml:space="preserve">and transactions of Non-VoteCo and VoteCo, focusing on qualification criteria </w:t>
      </w:r>
      <w:r w:rsidR="00B918A0">
        <w:rPr>
          <w:rFonts w:ascii="Times New Roman" w:eastAsia="Times New Roman" w:hAnsi="Times New Roman"/>
          <w:sz w:val="28"/>
          <w:szCs w:val="28"/>
        </w:rPr>
        <w:t>for</w:t>
      </w:r>
      <w:r w:rsidRPr="0023565D">
        <w:rPr>
          <w:rFonts w:ascii="Times New Roman" w:eastAsia="Times New Roman" w:hAnsi="Times New Roman"/>
          <w:sz w:val="28"/>
          <w:szCs w:val="28"/>
        </w:rPr>
        <w:t xml:space="preserve"> integrity and financial stability.  </w:t>
      </w:r>
      <w:r w:rsidR="00B918A0">
        <w:rPr>
          <w:rFonts w:ascii="Times New Roman" w:eastAsia="Times New Roman" w:hAnsi="Times New Roman"/>
          <w:sz w:val="28"/>
          <w:szCs w:val="28"/>
        </w:rPr>
        <w:t>The Agency</w:t>
      </w:r>
      <w:r w:rsidRPr="0023565D">
        <w:rPr>
          <w:rFonts w:ascii="Times New Roman" w:eastAsia="Times New Roman" w:hAnsi="Times New Roman"/>
          <w:sz w:val="28"/>
          <w:szCs w:val="28"/>
        </w:rPr>
        <w:t xml:space="preserve"> adhered to well-defined and approved investigative protocols in assembling the factual information incorporated in this report. The results of the investigation for the specific qualification criteria in SG §§ 9-1A-07(c)(7) and 9-1A-08(d) are summarized as follows:</w:t>
      </w:r>
    </w:p>
    <w:p w:rsidR="00A75BE2" w:rsidRPr="00E21A4B" w:rsidRDefault="00A75BE2" w:rsidP="00A75BE2">
      <w:pPr>
        <w:pStyle w:val="Default"/>
        <w:numPr>
          <w:ilvl w:val="0"/>
          <w:numId w:val="2"/>
        </w:numPr>
        <w:spacing w:line="480" w:lineRule="auto"/>
        <w:jc w:val="both"/>
        <w:rPr>
          <w:sz w:val="28"/>
          <w:szCs w:val="28"/>
        </w:rPr>
      </w:pPr>
      <w:r w:rsidRPr="00B051BD">
        <w:rPr>
          <w:color w:val="auto"/>
          <w:sz w:val="28"/>
          <w:szCs w:val="28"/>
        </w:rPr>
        <w:t>Non-VoteCo</w:t>
      </w:r>
      <w:r w:rsidRPr="00E21A4B">
        <w:rPr>
          <w:sz w:val="28"/>
          <w:szCs w:val="28"/>
        </w:rPr>
        <w:t xml:space="preserve"> </w:t>
      </w:r>
      <w:r w:rsidR="00B918A0">
        <w:rPr>
          <w:sz w:val="28"/>
          <w:szCs w:val="28"/>
        </w:rPr>
        <w:t>has</w:t>
      </w:r>
      <w:r w:rsidRPr="00E21A4B">
        <w:rPr>
          <w:sz w:val="28"/>
          <w:szCs w:val="28"/>
        </w:rPr>
        <w:t xml:space="preserve"> financial stability, integrity and responsibility</w:t>
      </w:r>
      <w:r w:rsidR="00B918A0">
        <w:rPr>
          <w:sz w:val="28"/>
          <w:szCs w:val="28"/>
        </w:rPr>
        <w:t>;</w:t>
      </w:r>
    </w:p>
    <w:p w:rsidR="00A75BE2" w:rsidRPr="00E21A4B" w:rsidRDefault="00A75BE2" w:rsidP="00A75BE2">
      <w:pPr>
        <w:pStyle w:val="Default"/>
        <w:numPr>
          <w:ilvl w:val="0"/>
          <w:numId w:val="2"/>
        </w:numPr>
        <w:spacing w:line="480" w:lineRule="auto"/>
        <w:jc w:val="both"/>
        <w:rPr>
          <w:sz w:val="28"/>
          <w:szCs w:val="28"/>
        </w:rPr>
      </w:pPr>
      <w:r w:rsidRPr="00E21A4B">
        <w:rPr>
          <w:sz w:val="28"/>
          <w:szCs w:val="28"/>
        </w:rPr>
        <w:t xml:space="preserve">There </w:t>
      </w:r>
      <w:r w:rsidR="00B918A0">
        <w:rPr>
          <w:sz w:val="28"/>
          <w:szCs w:val="28"/>
        </w:rPr>
        <w:t>are</w:t>
      </w:r>
      <w:r w:rsidRPr="00E21A4B">
        <w:rPr>
          <w:sz w:val="28"/>
          <w:szCs w:val="28"/>
        </w:rPr>
        <w:t xml:space="preserve"> no material issues involving the known financial backers</w:t>
      </w:r>
      <w:r w:rsidR="00B918A0">
        <w:rPr>
          <w:sz w:val="28"/>
          <w:szCs w:val="28"/>
        </w:rPr>
        <w:t>;</w:t>
      </w:r>
    </w:p>
    <w:p w:rsidR="00A75BE2" w:rsidRPr="00E21A4B" w:rsidRDefault="00A75BE2" w:rsidP="00A75BE2">
      <w:pPr>
        <w:pStyle w:val="Default"/>
        <w:numPr>
          <w:ilvl w:val="0"/>
          <w:numId w:val="2"/>
        </w:numPr>
        <w:spacing w:line="480" w:lineRule="auto"/>
        <w:jc w:val="both"/>
        <w:rPr>
          <w:sz w:val="28"/>
          <w:szCs w:val="28"/>
        </w:rPr>
      </w:pPr>
      <w:r w:rsidRPr="00B051BD">
        <w:rPr>
          <w:color w:val="auto"/>
          <w:sz w:val="28"/>
          <w:szCs w:val="28"/>
        </w:rPr>
        <w:t>Non-VoteCo</w:t>
      </w:r>
      <w:r w:rsidRPr="00E21A4B">
        <w:rPr>
          <w:sz w:val="28"/>
          <w:szCs w:val="28"/>
        </w:rPr>
        <w:t xml:space="preserve"> possesses the requisite good character, honesty and integrity</w:t>
      </w:r>
      <w:r w:rsidR="00B918A0">
        <w:rPr>
          <w:sz w:val="28"/>
          <w:szCs w:val="28"/>
        </w:rPr>
        <w:t>;</w:t>
      </w:r>
    </w:p>
    <w:p w:rsidR="00A75BE2" w:rsidRPr="00E21A4B" w:rsidRDefault="00A75BE2" w:rsidP="00A75BE2">
      <w:pPr>
        <w:pStyle w:val="Default"/>
        <w:numPr>
          <w:ilvl w:val="0"/>
          <w:numId w:val="2"/>
        </w:numPr>
        <w:spacing w:line="480" w:lineRule="auto"/>
        <w:jc w:val="both"/>
        <w:rPr>
          <w:sz w:val="28"/>
          <w:szCs w:val="28"/>
        </w:rPr>
      </w:pPr>
      <w:r w:rsidRPr="00B051BD">
        <w:rPr>
          <w:color w:val="auto"/>
          <w:sz w:val="28"/>
          <w:szCs w:val="28"/>
        </w:rPr>
        <w:t>Non-VoteCo</w:t>
      </w:r>
      <w:r w:rsidRPr="00E21A4B">
        <w:rPr>
          <w:sz w:val="28"/>
          <w:szCs w:val="28"/>
        </w:rPr>
        <w:t xml:space="preserve"> has sufficient business ability and experience</w:t>
      </w:r>
      <w:r w:rsidR="00B918A0">
        <w:rPr>
          <w:sz w:val="28"/>
          <w:szCs w:val="28"/>
        </w:rPr>
        <w:t>; and</w:t>
      </w:r>
      <w:r w:rsidRPr="00E21A4B">
        <w:rPr>
          <w:sz w:val="28"/>
          <w:szCs w:val="28"/>
        </w:rPr>
        <w:t xml:space="preserve"> </w:t>
      </w:r>
    </w:p>
    <w:p w:rsidR="00A75BE2" w:rsidRPr="00E21A4B" w:rsidRDefault="00A75BE2" w:rsidP="00A75BE2">
      <w:pPr>
        <w:pStyle w:val="Default"/>
        <w:numPr>
          <w:ilvl w:val="0"/>
          <w:numId w:val="2"/>
        </w:numPr>
        <w:spacing w:line="480" w:lineRule="auto"/>
        <w:jc w:val="both"/>
        <w:rPr>
          <w:sz w:val="28"/>
          <w:szCs w:val="28"/>
        </w:rPr>
      </w:pPr>
      <w:r w:rsidRPr="00E21A4B">
        <w:rPr>
          <w:sz w:val="28"/>
          <w:szCs w:val="28"/>
        </w:rPr>
        <w:t xml:space="preserve">There </w:t>
      </w:r>
      <w:r w:rsidR="00B918A0">
        <w:rPr>
          <w:sz w:val="28"/>
          <w:szCs w:val="28"/>
        </w:rPr>
        <w:t>are</w:t>
      </w:r>
      <w:r w:rsidRPr="00E21A4B">
        <w:rPr>
          <w:sz w:val="28"/>
          <w:szCs w:val="28"/>
        </w:rPr>
        <w:t xml:space="preserve"> no potential disqualifying factors</w:t>
      </w:r>
      <w:r w:rsidR="00B918A0">
        <w:rPr>
          <w:sz w:val="28"/>
          <w:szCs w:val="28"/>
        </w:rPr>
        <w:t>.</w:t>
      </w:r>
    </w:p>
    <w:p w:rsidR="000640DF" w:rsidRPr="00671E2A" w:rsidRDefault="00B918A0" w:rsidP="00671E2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color w:val="000000"/>
          <w:sz w:val="28"/>
          <w:szCs w:val="28"/>
        </w:rPr>
        <w:t>The Agency’s</w:t>
      </w:r>
      <w:r w:rsidR="00671E2A">
        <w:rPr>
          <w:rFonts w:ascii="Times New Roman" w:eastAsia="Times New Roman" w:hAnsi="Times New Roman"/>
          <w:color w:val="000000"/>
          <w:sz w:val="28"/>
          <w:szCs w:val="28"/>
        </w:rPr>
        <w:t xml:space="preserve"> investigation has confirmed that the OCM Luxembourg Baccarat Bidco S.à.r.l., Luxembourg </w:t>
      </w:r>
      <w:r w:rsidR="00FC2436">
        <w:rPr>
          <w:rFonts w:ascii="Times New Roman" w:eastAsia="Times New Roman" w:hAnsi="Times New Roman"/>
          <w:color w:val="000000"/>
          <w:sz w:val="28"/>
          <w:szCs w:val="28"/>
        </w:rPr>
        <w:t>(</w:t>
      </w:r>
      <w:r w:rsidR="00671E2A">
        <w:rPr>
          <w:rFonts w:ascii="Times New Roman" w:eastAsia="Times New Roman" w:hAnsi="Times New Roman"/>
          <w:color w:val="000000"/>
          <w:sz w:val="28"/>
          <w:szCs w:val="28"/>
        </w:rPr>
        <w:t xml:space="preserve">“Non-VoteCo”) </w:t>
      </w:r>
      <w:r w:rsidR="00FC2436">
        <w:rPr>
          <w:rFonts w:ascii="Times New Roman" w:eastAsia="Times New Roman" w:hAnsi="Times New Roman"/>
          <w:color w:val="000000"/>
          <w:sz w:val="28"/>
          <w:szCs w:val="28"/>
        </w:rPr>
        <w:t>meets the qualification requirements of the Gaming Law, and found no derogatory infor</w:t>
      </w:r>
      <w:r w:rsidR="00834C73">
        <w:rPr>
          <w:rFonts w:ascii="Times New Roman" w:eastAsia="Times New Roman" w:hAnsi="Times New Roman"/>
          <w:color w:val="000000"/>
          <w:sz w:val="28"/>
          <w:szCs w:val="28"/>
        </w:rPr>
        <w:t>mation. Non-Vote-Co’s acquisition</w:t>
      </w:r>
      <w:r w:rsidR="00671E2A" w:rsidRPr="00671E2A">
        <w:rPr>
          <w:rFonts w:ascii="Times New Roman" w:eastAsia="Times New Roman" w:hAnsi="Times New Roman"/>
          <w:sz w:val="28"/>
          <w:szCs w:val="28"/>
        </w:rPr>
        <w:t xml:space="preserve"> of Interblock d.d. and resulting ownership changes are consistent with the policies and intent of SG § 9-1A-19.</w:t>
      </w:r>
      <w:r w:rsidR="00834C73">
        <w:rPr>
          <w:rFonts w:ascii="Times New Roman" w:eastAsia="Times New Roman" w:hAnsi="Times New Roman"/>
          <w:sz w:val="28"/>
          <w:szCs w:val="28"/>
        </w:rPr>
        <w:t xml:space="preserve"> Accordingly, Staff concludes that 1) Non-VoteCo has established</w:t>
      </w:r>
      <w:r w:rsidR="00671E2A">
        <w:rPr>
          <w:rFonts w:ascii="Times New Roman" w:eastAsia="Times New Roman" w:hAnsi="Times New Roman"/>
          <w:color w:val="000000"/>
          <w:sz w:val="28"/>
          <w:szCs w:val="28"/>
        </w:rPr>
        <w:t xml:space="preserve"> by clear and convincing evidence the qualifications required for its acquisition of Interblock d.d.</w:t>
      </w:r>
      <w:r w:rsidR="00834C73">
        <w:rPr>
          <w:rFonts w:ascii="Times New Roman" w:eastAsia="Times New Roman" w:hAnsi="Times New Roman"/>
          <w:color w:val="000000"/>
          <w:sz w:val="28"/>
          <w:szCs w:val="28"/>
        </w:rPr>
        <w:t>; 2) the Commission should approve the acquisition of Interblock d.d.</w:t>
      </w:r>
      <w:r w:rsidR="00671E2A">
        <w:rPr>
          <w:rFonts w:ascii="Times New Roman" w:eastAsia="Times New Roman" w:hAnsi="Times New Roman"/>
          <w:color w:val="000000"/>
          <w:sz w:val="28"/>
          <w:szCs w:val="28"/>
        </w:rPr>
        <w:t> </w:t>
      </w:r>
    </w:p>
    <w:sectPr w:rsidR="000640DF" w:rsidRPr="00671E2A" w:rsidSect="00C36C25">
      <w:footerReference w:type="default" r:id="rId9"/>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0A" w:rsidRDefault="002A660A" w:rsidP="00880CBF">
      <w:pPr>
        <w:spacing w:after="0" w:line="240" w:lineRule="auto"/>
      </w:pPr>
      <w:r>
        <w:separator/>
      </w:r>
    </w:p>
  </w:endnote>
  <w:endnote w:type="continuationSeparator" w:id="0">
    <w:p w:rsidR="002A660A" w:rsidRDefault="002A660A" w:rsidP="0088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81826"/>
      <w:docPartObj>
        <w:docPartGallery w:val="Page Numbers (Bottom of Page)"/>
        <w:docPartUnique/>
      </w:docPartObj>
    </w:sdtPr>
    <w:sdtEndPr>
      <w:rPr>
        <w:rFonts w:ascii="Times New Roman" w:hAnsi="Times New Roman"/>
        <w:noProof/>
      </w:rPr>
    </w:sdtEndPr>
    <w:sdtContent>
      <w:p w:rsidR="00880CBF" w:rsidRPr="00880CBF" w:rsidRDefault="00880CBF">
        <w:pPr>
          <w:pStyle w:val="Footer"/>
          <w:jc w:val="center"/>
          <w:rPr>
            <w:rFonts w:ascii="Times New Roman" w:hAnsi="Times New Roman"/>
          </w:rPr>
        </w:pPr>
        <w:r w:rsidRPr="00880CBF">
          <w:rPr>
            <w:rFonts w:ascii="Times New Roman" w:hAnsi="Times New Roman"/>
          </w:rPr>
          <w:fldChar w:fldCharType="begin"/>
        </w:r>
        <w:r w:rsidRPr="00880CBF">
          <w:rPr>
            <w:rFonts w:ascii="Times New Roman" w:hAnsi="Times New Roman"/>
          </w:rPr>
          <w:instrText xml:space="preserve"> PAGE   \* MERGEFORMAT </w:instrText>
        </w:r>
        <w:r w:rsidRPr="00880CBF">
          <w:rPr>
            <w:rFonts w:ascii="Times New Roman" w:hAnsi="Times New Roman"/>
          </w:rPr>
          <w:fldChar w:fldCharType="separate"/>
        </w:r>
        <w:r w:rsidR="00C36C25">
          <w:rPr>
            <w:rFonts w:ascii="Times New Roman" w:hAnsi="Times New Roman"/>
            <w:noProof/>
          </w:rPr>
          <w:t>1</w:t>
        </w:r>
        <w:r w:rsidRPr="00880CBF">
          <w:rPr>
            <w:rFonts w:ascii="Times New Roman" w:hAnsi="Times New Roman"/>
            <w:noProof/>
          </w:rPr>
          <w:fldChar w:fldCharType="end"/>
        </w:r>
      </w:p>
    </w:sdtContent>
  </w:sdt>
  <w:p w:rsidR="00880CBF" w:rsidRDefault="0088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0A" w:rsidRDefault="002A660A" w:rsidP="00880CBF">
      <w:pPr>
        <w:spacing w:after="0" w:line="240" w:lineRule="auto"/>
      </w:pPr>
      <w:r>
        <w:separator/>
      </w:r>
    </w:p>
  </w:footnote>
  <w:footnote w:type="continuationSeparator" w:id="0">
    <w:p w:rsidR="002A660A" w:rsidRDefault="002A660A" w:rsidP="0088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15FA"/>
    <w:multiLevelType w:val="hybridMultilevel"/>
    <w:tmpl w:val="6742EB8E"/>
    <w:lvl w:ilvl="0" w:tplc="0B32C6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1D4665"/>
    <w:multiLevelType w:val="hybridMultilevel"/>
    <w:tmpl w:val="7032AFC0"/>
    <w:lvl w:ilvl="0" w:tplc="8B20D17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8E"/>
    <w:rsid w:val="000640DF"/>
    <w:rsid w:val="000747CD"/>
    <w:rsid w:val="00093D93"/>
    <w:rsid w:val="00190C50"/>
    <w:rsid w:val="00225AB1"/>
    <w:rsid w:val="0023565D"/>
    <w:rsid w:val="00267201"/>
    <w:rsid w:val="002A27E4"/>
    <w:rsid w:val="002A660A"/>
    <w:rsid w:val="002D2FCA"/>
    <w:rsid w:val="0034162F"/>
    <w:rsid w:val="003B5327"/>
    <w:rsid w:val="004E3E96"/>
    <w:rsid w:val="004E4F73"/>
    <w:rsid w:val="00527B7E"/>
    <w:rsid w:val="00651758"/>
    <w:rsid w:val="00671E2A"/>
    <w:rsid w:val="006F2340"/>
    <w:rsid w:val="00735A97"/>
    <w:rsid w:val="00737351"/>
    <w:rsid w:val="00834C73"/>
    <w:rsid w:val="00871AEF"/>
    <w:rsid w:val="00880CBF"/>
    <w:rsid w:val="008E551E"/>
    <w:rsid w:val="00911176"/>
    <w:rsid w:val="00993786"/>
    <w:rsid w:val="009D5E8E"/>
    <w:rsid w:val="00A02260"/>
    <w:rsid w:val="00A5031E"/>
    <w:rsid w:val="00A75BE2"/>
    <w:rsid w:val="00AA400B"/>
    <w:rsid w:val="00AC4738"/>
    <w:rsid w:val="00B30950"/>
    <w:rsid w:val="00B44BF3"/>
    <w:rsid w:val="00B918A0"/>
    <w:rsid w:val="00C36C25"/>
    <w:rsid w:val="00D8359D"/>
    <w:rsid w:val="00DC6A91"/>
    <w:rsid w:val="00EB290D"/>
    <w:rsid w:val="00F16689"/>
    <w:rsid w:val="00FC2436"/>
    <w:rsid w:val="00FC65EC"/>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0201"/>
  <w15:chartTrackingRefBased/>
  <w15:docId w15:val="{5E58F47A-FFDE-418E-8ED5-024EDAFF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E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5D"/>
    <w:pPr>
      <w:ind w:left="720"/>
      <w:contextualSpacing/>
    </w:pPr>
  </w:style>
  <w:style w:type="paragraph" w:customStyle="1" w:styleId="Default">
    <w:name w:val="Default"/>
    <w:rsid w:val="00A75B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0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BF"/>
    <w:rPr>
      <w:rFonts w:ascii="Segoe UI" w:eastAsia="Calibri" w:hAnsi="Segoe UI" w:cs="Segoe UI"/>
      <w:sz w:val="18"/>
      <w:szCs w:val="18"/>
    </w:rPr>
  </w:style>
  <w:style w:type="paragraph" w:styleId="Header">
    <w:name w:val="header"/>
    <w:basedOn w:val="Normal"/>
    <w:link w:val="HeaderChar"/>
    <w:uiPriority w:val="99"/>
    <w:unhideWhenUsed/>
    <w:rsid w:val="0088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CBF"/>
    <w:rPr>
      <w:rFonts w:ascii="Calibri" w:eastAsia="Calibri" w:hAnsi="Calibri" w:cs="Times New Roman"/>
    </w:rPr>
  </w:style>
  <w:style w:type="paragraph" w:styleId="Footer">
    <w:name w:val="footer"/>
    <w:basedOn w:val="Normal"/>
    <w:link w:val="FooterChar"/>
    <w:uiPriority w:val="99"/>
    <w:unhideWhenUsed/>
    <w:rsid w:val="0088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C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Maryland Lottery and Gaming</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Tosky, Jennifer</dc:creator>
  <cp:keywords/>
  <dc:description/>
  <cp:lastModifiedBy>Jennifer Tosky</cp:lastModifiedBy>
  <cp:revision>2</cp:revision>
  <cp:lastPrinted>2022-05-25T21:47:00Z</cp:lastPrinted>
  <dcterms:created xsi:type="dcterms:W3CDTF">2022-05-25T22:30:00Z</dcterms:created>
  <dcterms:modified xsi:type="dcterms:W3CDTF">2022-05-25T22:30:00Z</dcterms:modified>
</cp:coreProperties>
</file>